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374BC3C6" w:rsidR="000C6D3A" w:rsidRDefault="000C6D3A" w:rsidP="000C6D3A">
      <w:pPr>
        <w:pStyle w:val="Subtitle"/>
        <w:jc w:val="center"/>
      </w:pPr>
      <w:r w:rsidRPr="000C6D3A">
        <w:t>Word Version</w:t>
      </w:r>
      <w:r w:rsidR="00151B76">
        <w:t xml:space="preserve"> </w:t>
      </w:r>
      <w:r w:rsidR="00355460">
        <w:t>2.</w:t>
      </w:r>
      <w:r w:rsidR="008E4D2D">
        <w:t>3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8E45C0">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8E45C0">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8E45C0">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8E45C0">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8E45C0">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8E45C0">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8E45C0">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8E45C0">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8E45C0">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8E45C0">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8E45C0">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8E45C0">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8E45C0">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 w14:paraId="16677E55" w14:textId="375B77D9" w:rsidR="00355460" w:rsidRPr="00E263EC" w:rsidRDefault="0001416D"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7DD9864C" w:rsidR="0077584C" w:rsidRDefault="0001416D" w:rsidP="0077584C">
          <w:r>
            <w:t>1.1.1  Proportion of population below international poverty line</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52436DA" w:rsidR="0077584C" w:rsidRDefault="0001416D" w:rsidP="0077584C">
          <w:r>
            <w:t>World</w:t>
          </w:r>
        </w:p>
      </w:sdtContent>
    </w:sdt>
    <w:p w14:paraId="69911511" w14:textId="77777777" w:rsidR="00B8102F" w:rsidRDefault="00B8102F" w:rsidP="00355460"/>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09594E6C" w:rsidR="005377B9" w:rsidRPr="0001416D" w:rsidRDefault="0001416D" w:rsidP="0001416D">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2223736" w:rsidR="005377B9" w:rsidRPr="0001416D" w:rsidRDefault="0001416D" w:rsidP="0001416D">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03D89D" w:rsidR="005377B9" w:rsidRPr="006A5EA4" w:rsidRDefault="006A5EA4" w:rsidP="006A5EA4">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A9A0AED" w:rsidR="005377B9" w:rsidRPr="006A5EA4" w:rsidRDefault="006A5EA4" w:rsidP="006A5EA4">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42A204BB" w:rsidR="005377B9" w:rsidRPr="006A5EA4" w:rsidRDefault="006A5EA4" w:rsidP="006A5EA4">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C9C6395" w:rsidR="005377B9" w:rsidRPr="006A5EA4" w:rsidRDefault="006A5EA4" w:rsidP="006A5EA4">
            <w:r>
              <w:t>6</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6A52950" w:rsidR="005377B9" w:rsidRPr="006A5EA4" w:rsidRDefault="006A5EA4" w:rsidP="006A5EA4">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392EC844" w:rsidR="005377B9" w:rsidRPr="006A5EA4" w:rsidRDefault="006A5EA4" w:rsidP="006A5EA4">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52C5A940" w:rsidR="003E7389" w:rsidRPr="006A5EA4" w:rsidRDefault="006A5EA4" w:rsidP="006A5EA4">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A781091" w:rsidR="003E7389" w:rsidRPr="006A5EA4" w:rsidRDefault="006A5EA4" w:rsidP="006A5EA4">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788AD6D" w:rsidR="003E7389" w:rsidRPr="006A5EA4" w:rsidRDefault="006A5EA4" w:rsidP="006A5EA4">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1F7D0AE8"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lastRenderedPageBreak/>
              <w:t xml:space="preserve">1.c. Contact </w:t>
            </w:r>
            <w:r w:rsidR="006A5EA4">
              <w:rPr>
                <w:rFonts w:ascii="Calibri" w:eastAsia="Times New Roman" w:hAnsi="Calibri" w:cs="Calibri"/>
              </w:rPr>
              <w:pgNum/>
              <w:t>rganization</w:t>
            </w:r>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4A5F348A" w:rsidR="003E7389" w:rsidRPr="006A5EA4" w:rsidRDefault="006A5EA4" w:rsidP="006A5EA4">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68A5571D" w:rsidR="003E7389" w:rsidRPr="006A5EA4" w:rsidRDefault="006A5EA4" w:rsidP="006A5EA4">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23429CFF" w:rsidR="003E7389" w:rsidRPr="006A5EA4" w:rsidRDefault="006A5EA4" w:rsidP="006A5EA4">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4D23586E" w:rsidR="003E7389" w:rsidRPr="006A5EA4" w:rsidRDefault="006A5EA4" w:rsidP="006A5EA4">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091F1C71" w:rsidR="003E7389" w:rsidRPr="006A5EA4" w:rsidRDefault="006A5EA4" w:rsidP="006A5EA4">
            <w: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51B030C5" w:rsidR="0015178E" w:rsidRPr="006A5EA4" w:rsidRDefault="006A5EA4" w:rsidP="006A5EA4">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4B800D85" w:rsidR="0015178E" w:rsidRPr="006A5EA4" w:rsidRDefault="006A5EA4" w:rsidP="006A5EA4">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593E9CA6" w:rsidR="0015178E" w:rsidRPr="006A5EA4" w:rsidRDefault="006A5EA4" w:rsidP="006A5EA4">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42161B56" w:rsidR="0015178E" w:rsidRPr="006A5EA4" w:rsidRDefault="006A5EA4" w:rsidP="006A5EA4">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1F155B10" w:rsidR="0035311B" w:rsidRPr="006A5EA4" w:rsidRDefault="006A5EA4" w:rsidP="006A5EA4">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40BB93D8" w:rsidR="0035311B" w:rsidRPr="006A5EA4" w:rsidRDefault="006A5EA4" w:rsidP="006A5EA4">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2D726210" w:rsidR="0035311B" w:rsidRPr="006A5EA4" w:rsidRDefault="006A5EA4" w:rsidP="006A5EA4">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6DEE5E7B" w:rsidR="0035311B" w:rsidRPr="006A5EA4" w:rsidRDefault="006A5EA4" w:rsidP="006A5EA4">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0C61E6E4" w:rsidR="0035311B" w:rsidRPr="006A5EA4" w:rsidRDefault="006A5EA4" w:rsidP="006A5EA4">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080411ED" w:rsidR="0035311B" w:rsidRPr="006A5EA4" w:rsidRDefault="006A5EA4" w:rsidP="006A5EA4">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219D09E6" w:rsidR="0035311B" w:rsidRPr="006A5EA4" w:rsidRDefault="006A5EA4" w:rsidP="006A5EA4">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0AF041A1" w:rsidR="0035311B" w:rsidRPr="006A5EA4" w:rsidRDefault="006A5EA4" w:rsidP="006A5EA4">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62961BA5" w:rsidR="007F2D9F" w:rsidRPr="006A5EA4" w:rsidRDefault="006A5EA4" w:rsidP="006A5EA4">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6D19858C" w:rsidR="007F2D9F" w:rsidRPr="006A5EA4" w:rsidRDefault="006A5EA4" w:rsidP="006A5EA4">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8EF8537" w14:textId="3990F9D7" w:rsidR="007F2D9F" w:rsidRPr="006A5EA4" w:rsidRDefault="006A5EA4" w:rsidP="006A5EA4">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2C8DE5C9" w:rsidR="007F2D9F" w:rsidRPr="006A5EA4" w:rsidRDefault="006A5EA4" w:rsidP="006A5EA4">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2029AE0" w:rsidR="007F2D9F" w:rsidRPr="006A5EA4" w:rsidRDefault="006A5EA4" w:rsidP="006A5EA4">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3B6D29C9" w:rsidR="007F2D9F" w:rsidRPr="006A5EA4" w:rsidRDefault="006A5EA4" w:rsidP="006A5EA4">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2FF34559" w:rsidR="007F2D9F" w:rsidRPr="006A5EA4" w:rsidRDefault="006A5EA4" w:rsidP="006A5EA4">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0F280380" w:rsidR="007F2D9F" w:rsidRPr="006A5EA4" w:rsidRDefault="006A5EA4" w:rsidP="006A5EA4">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5E7B043E" w:rsidR="007F2D9F" w:rsidRPr="006A5EA4" w:rsidRDefault="006A5EA4" w:rsidP="006A5EA4">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4E82782A" w:rsidR="007F2D9F" w:rsidRPr="006A5EA4" w:rsidRDefault="006A5EA4" w:rsidP="006A5EA4">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46380904" w:rsidR="007F2D9F" w:rsidRPr="006A5EA4" w:rsidRDefault="006A5EA4" w:rsidP="006A5EA4">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23C27D2A" w:rsidR="007F2D9F" w:rsidRPr="006A5EA4" w:rsidRDefault="006A5EA4" w:rsidP="006A5EA4">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2BB79173" w:rsidR="00776312" w:rsidRPr="006A5EA4" w:rsidRDefault="006A5EA4" w:rsidP="006A5EA4">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704A8803" w:rsidR="004F4616" w:rsidRPr="006A5EA4" w:rsidRDefault="006A5EA4" w:rsidP="006A5EA4">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16DFBF3C" w:rsidR="007B2E39" w:rsidRPr="006A5EA4" w:rsidRDefault="006A5EA4" w:rsidP="006A5EA4">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lastRenderedPageBreak/>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lastRenderedPageBreak/>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 xml:space="preserve">Global reporting: Description of the methodology, including any mathematical formulas, used for the calculation of the regional/global aggregates from the country values. Description of the weighting structure used for aggregating country indicator values to regional </w:t>
      </w:r>
      <w:r w:rsidR="00431B2F" w:rsidRPr="005B293A">
        <w:lastRenderedPageBreak/>
        <w:t>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r>
            <w:r w:rsidRPr="009367AA">
              <w:rPr>
                <w:rFonts w:ascii="Calibri" w:eastAsia="Times New Roman" w:hAnsi="Calibri" w:cs="Calibri"/>
                <w:color w:val="000000"/>
              </w:rPr>
              <w:lastRenderedPageBreak/>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712B5" w14:textId="77777777" w:rsidR="008E45C0" w:rsidRDefault="008E45C0" w:rsidP="006B0512">
      <w:pPr>
        <w:spacing w:after="0" w:line="240" w:lineRule="auto"/>
      </w:pPr>
      <w:r>
        <w:separator/>
      </w:r>
    </w:p>
  </w:endnote>
  <w:endnote w:type="continuationSeparator" w:id="0">
    <w:p w14:paraId="4E1FF9EC" w14:textId="77777777" w:rsidR="008E45C0" w:rsidRDefault="008E45C0"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DA69E7">
          <w:rPr>
            <w:noProof/>
          </w:rPr>
          <w:t>4</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DA69E7">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EFC6A" w14:textId="77777777" w:rsidR="008E45C0" w:rsidRDefault="008E45C0" w:rsidP="006B0512">
      <w:pPr>
        <w:spacing w:after="0" w:line="240" w:lineRule="auto"/>
      </w:pPr>
      <w:r>
        <w:separator/>
      </w:r>
    </w:p>
  </w:footnote>
  <w:footnote w:type="continuationSeparator" w:id="0">
    <w:p w14:paraId="74C3CB4A" w14:textId="77777777" w:rsidR="008E45C0" w:rsidRDefault="008E45C0"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16D"/>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A5EA4"/>
    <w:rsid w:val="006B0512"/>
    <w:rsid w:val="006B3527"/>
    <w:rsid w:val="006C6768"/>
    <w:rsid w:val="006F2038"/>
    <w:rsid w:val="006F50E8"/>
    <w:rsid w:val="007100BD"/>
    <w:rsid w:val="00736C4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5C0"/>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A053A9CD-25AA-4337-96FF-ED4C26BF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4B32-A3F9-4347-892B-F86594CE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3</cp:revision>
  <cp:lastPrinted>2020-04-16T14:23:00Z</cp:lastPrinted>
  <dcterms:created xsi:type="dcterms:W3CDTF">2020-05-15T19:59:00Z</dcterms:created>
  <dcterms:modified xsi:type="dcterms:W3CDTF">2020-07-12T14:49:00Z</dcterms:modified>
</cp:coreProperties>
</file>