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F2780" w:rsidRDefault="008F3083">
      <w:pPr>
        <w:pStyle w:val="Title"/>
        <w:jc w:val="center"/>
        <w:rPr>
          <w:sz w:val="48"/>
          <w:szCs w:val="48"/>
        </w:rPr>
      </w:pPr>
      <w:r>
        <w:rPr>
          <w:sz w:val="48"/>
          <w:szCs w:val="48"/>
        </w:rPr>
        <w:t>SDG Metadata Authoring Tool Template</w:t>
      </w:r>
    </w:p>
    <w:p w:rsidR="003F2780" w:rsidRDefault="008F3083">
      <w:pPr>
        <w:pStyle w:val="Subtitle"/>
        <w:jc w:val="center"/>
      </w:pPr>
      <w:r>
        <w:t>Word Version 3.1 (DRAFT)</w:t>
      </w:r>
    </w:p>
    <w:p w:rsidR="003F2780" w:rsidRDefault="008F3083">
      <w:pPr>
        <w:jc w:val="center"/>
      </w:pPr>
      <w:r>
        <w:t>Main and Detailed Concept Collection Form</w:t>
      </w:r>
    </w:p>
    <w:p w:rsidR="003F2780" w:rsidRDefault="008F3083">
      <w:pPr>
        <w:keepNext/>
        <w:keepLines/>
        <w:pBdr>
          <w:top w:val="nil"/>
          <w:left w:val="nil"/>
          <w:bottom w:val="nil"/>
          <w:right w:val="nil"/>
          <w:between w:val="nil"/>
        </w:pBdr>
        <w:spacing w:before="240" w:after="0"/>
        <w:rPr>
          <w:color w:val="2E75B5"/>
          <w:sz w:val="32"/>
          <w:szCs w:val="32"/>
        </w:rPr>
      </w:pPr>
      <w:r>
        <w:rPr>
          <w:color w:val="2E75B5"/>
          <w:sz w:val="32"/>
          <w:szCs w:val="32"/>
        </w:rPr>
        <w:t>Contents</w:t>
      </w:r>
    </w:p>
    <w:sdt>
      <w:sdtPr>
        <w:id w:val="725260680"/>
        <w:docPartObj>
          <w:docPartGallery w:val="Table of Contents"/>
          <w:docPartUnique/>
        </w:docPartObj>
      </w:sdtPr>
      <w:sdtEndPr/>
      <w:sdtContent>
        <w:p w:rsidR="003F2780" w:rsidRDefault="008F3083">
          <w:pPr>
            <w:pBdr>
              <w:top w:val="nil"/>
              <w:left w:val="nil"/>
              <w:bottom w:val="nil"/>
              <w:right w:val="nil"/>
              <w:between w:val="nil"/>
            </w:pBdr>
            <w:tabs>
              <w:tab w:val="right" w:pos="9350"/>
            </w:tabs>
            <w:spacing w:after="100"/>
            <w:rPr>
              <w:color w:val="000000"/>
            </w:rPr>
          </w:pPr>
          <w:r>
            <w:fldChar w:fldCharType="begin"/>
          </w:r>
          <w:r>
            <w:instrText xml:space="preserve"> TOC \h \u \z </w:instrText>
          </w:r>
          <w:r>
            <w:fldChar w:fldCharType="separate"/>
          </w:r>
          <w:hyperlink w:anchor="_gjdgxs">
            <w:r>
              <w:rPr>
                <w:color w:val="000000"/>
              </w:rPr>
              <w:t>Metadata Attachment</w:t>
            </w:r>
            <w:r>
              <w:rPr>
                <w:color w:val="000000"/>
              </w:rPr>
              <w:tab/>
              <w:t>2</w:t>
            </w:r>
          </w:hyperlink>
        </w:p>
        <w:p w:rsidR="003F2780" w:rsidRDefault="00C1530B">
          <w:pPr>
            <w:pBdr>
              <w:top w:val="nil"/>
              <w:left w:val="nil"/>
              <w:bottom w:val="nil"/>
              <w:right w:val="nil"/>
              <w:between w:val="nil"/>
            </w:pBdr>
            <w:tabs>
              <w:tab w:val="right" w:pos="9350"/>
            </w:tabs>
            <w:spacing w:after="100"/>
            <w:rPr>
              <w:color w:val="000000"/>
            </w:rPr>
          </w:pPr>
          <w:hyperlink w:anchor="_30j0zll">
            <w:r w:rsidR="008F3083">
              <w:rPr>
                <w:color w:val="000000"/>
              </w:rPr>
              <w:t>Metadata Submission Form</w:t>
            </w:r>
            <w:r w:rsidR="008F3083">
              <w:rPr>
                <w:color w:val="000000"/>
              </w:rPr>
              <w:tab/>
              <w:t>2</w:t>
            </w:r>
          </w:hyperlink>
        </w:p>
        <w:p w:rsidR="003F2780" w:rsidRDefault="00C1530B">
          <w:pPr>
            <w:pBdr>
              <w:top w:val="nil"/>
              <w:left w:val="nil"/>
              <w:bottom w:val="nil"/>
              <w:right w:val="nil"/>
              <w:between w:val="nil"/>
            </w:pBdr>
            <w:tabs>
              <w:tab w:val="right" w:pos="9350"/>
            </w:tabs>
            <w:spacing w:after="100"/>
            <w:ind w:left="220"/>
            <w:rPr>
              <w:color w:val="000000"/>
            </w:rPr>
          </w:pPr>
          <w:hyperlink w:anchor="_1fob9te">
            <w:r w:rsidR="008F3083">
              <w:rPr>
                <w:color w:val="000000"/>
              </w:rPr>
              <w:t>0. Indicator information</w:t>
            </w:r>
            <w:r w:rsidR="008F3083">
              <w:rPr>
                <w:color w:val="000000"/>
              </w:rPr>
              <w:tab/>
              <w:t>2</w:t>
            </w:r>
          </w:hyperlink>
        </w:p>
        <w:p w:rsidR="003F2780" w:rsidRDefault="00C1530B">
          <w:pPr>
            <w:pBdr>
              <w:top w:val="nil"/>
              <w:left w:val="nil"/>
              <w:bottom w:val="nil"/>
              <w:right w:val="nil"/>
              <w:between w:val="nil"/>
            </w:pBdr>
            <w:tabs>
              <w:tab w:val="right" w:pos="9350"/>
            </w:tabs>
            <w:spacing w:after="100"/>
            <w:ind w:left="220"/>
            <w:rPr>
              <w:color w:val="000000"/>
            </w:rPr>
          </w:pPr>
          <w:hyperlink w:anchor="_3znysh7">
            <w:r w:rsidR="008F3083">
              <w:rPr>
                <w:color w:val="000000"/>
              </w:rPr>
              <w:t>1. Data reporter</w:t>
            </w:r>
            <w:r w:rsidR="008F3083">
              <w:rPr>
                <w:color w:val="000000"/>
              </w:rPr>
              <w:tab/>
              <w:t>2</w:t>
            </w:r>
          </w:hyperlink>
        </w:p>
        <w:p w:rsidR="003F2780" w:rsidRDefault="00C1530B">
          <w:pPr>
            <w:pBdr>
              <w:top w:val="nil"/>
              <w:left w:val="nil"/>
              <w:bottom w:val="nil"/>
              <w:right w:val="nil"/>
              <w:between w:val="nil"/>
            </w:pBdr>
            <w:tabs>
              <w:tab w:val="right" w:pos="9350"/>
            </w:tabs>
            <w:spacing w:after="100"/>
            <w:ind w:left="220"/>
            <w:rPr>
              <w:color w:val="000000"/>
            </w:rPr>
          </w:pPr>
          <w:hyperlink w:anchor="_2et92p0">
            <w:r w:rsidR="008F3083">
              <w:rPr>
                <w:color w:val="000000"/>
              </w:rPr>
              <w:t>2. Definition, concepts, and classifications</w:t>
            </w:r>
            <w:r w:rsidR="008F3083">
              <w:rPr>
                <w:color w:val="000000"/>
              </w:rPr>
              <w:tab/>
              <w:t>3</w:t>
            </w:r>
          </w:hyperlink>
        </w:p>
        <w:p w:rsidR="003F2780" w:rsidRDefault="00C1530B">
          <w:pPr>
            <w:pBdr>
              <w:top w:val="nil"/>
              <w:left w:val="nil"/>
              <w:bottom w:val="nil"/>
              <w:right w:val="nil"/>
              <w:between w:val="nil"/>
            </w:pBdr>
            <w:tabs>
              <w:tab w:val="right" w:pos="9350"/>
            </w:tabs>
            <w:spacing w:after="100"/>
            <w:ind w:left="220"/>
            <w:rPr>
              <w:color w:val="000000"/>
            </w:rPr>
          </w:pPr>
          <w:hyperlink w:anchor="_tyjcwt">
            <w:r w:rsidR="008F3083">
              <w:rPr>
                <w:color w:val="000000"/>
              </w:rPr>
              <w:t>3. Data source type and data collection method</w:t>
            </w:r>
            <w:r w:rsidR="008F3083">
              <w:rPr>
                <w:color w:val="000000"/>
              </w:rPr>
              <w:tab/>
              <w:t>3</w:t>
            </w:r>
          </w:hyperlink>
        </w:p>
        <w:p w:rsidR="003F2780" w:rsidRDefault="00C1530B">
          <w:pPr>
            <w:pBdr>
              <w:top w:val="nil"/>
              <w:left w:val="nil"/>
              <w:bottom w:val="nil"/>
              <w:right w:val="nil"/>
              <w:between w:val="nil"/>
            </w:pBdr>
            <w:tabs>
              <w:tab w:val="right" w:pos="9350"/>
            </w:tabs>
            <w:spacing w:after="100"/>
            <w:ind w:left="220"/>
            <w:rPr>
              <w:color w:val="000000"/>
            </w:rPr>
          </w:pPr>
          <w:hyperlink w:anchor="_3dy6vkm">
            <w:r w:rsidR="008F3083">
              <w:rPr>
                <w:color w:val="000000"/>
              </w:rPr>
              <w:t>4. Other methodological considerations</w:t>
            </w:r>
            <w:r w:rsidR="008F3083">
              <w:rPr>
                <w:color w:val="000000"/>
              </w:rPr>
              <w:tab/>
              <w:t>3</w:t>
            </w:r>
          </w:hyperlink>
        </w:p>
        <w:p w:rsidR="003F2780" w:rsidRDefault="00C1530B">
          <w:pPr>
            <w:pBdr>
              <w:top w:val="nil"/>
              <w:left w:val="nil"/>
              <w:bottom w:val="nil"/>
              <w:right w:val="nil"/>
              <w:between w:val="nil"/>
            </w:pBdr>
            <w:tabs>
              <w:tab w:val="right" w:pos="9350"/>
            </w:tabs>
            <w:spacing w:after="100"/>
            <w:ind w:left="220"/>
            <w:rPr>
              <w:color w:val="000000"/>
            </w:rPr>
          </w:pPr>
          <w:hyperlink w:anchor="_1t3h5sf">
            <w:r w:rsidR="008F3083">
              <w:rPr>
                <w:color w:val="000000"/>
              </w:rPr>
              <w:t>5. Data availability and disaggregation</w:t>
            </w:r>
            <w:r w:rsidR="008F3083">
              <w:rPr>
                <w:color w:val="000000"/>
              </w:rPr>
              <w:tab/>
              <w:t>4</w:t>
            </w:r>
          </w:hyperlink>
        </w:p>
        <w:p w:rsidR="003F2780" w:rsidRDefault="00C1530B">
          <w:pPr>
            <w:pBdr>
              <w:top w:val="nil"/>
              <w:left w:val="nil"/>
              <w:bottom w:val="nil"/>
              <w:right w:val="nil"/>
              <w:between w:val="nil"/>
            </w:pBdr>
            <w:tabs>
              <w:tab w:val="right" w:pos="9350"/>
            </w:tabs>
            <w:spacing w:after="100"/>
            <w:ind w:left="220"/>
            <w:rPr>
              <w:color w:val="000000"/>
            </w:rPr>
          </w:pPr>
          <w:hyperlink w:anchor="_44sinio">
            <w:r w:rsidR="008F3083">
              <w:rPr>
                <w:color w:val="000000"/>
              </w:rPr>
              <w:t>6. Comparability/deviation from international standards</w:t>
            </w:r>
            <w:r w:rsidR="008F3083">
              <w:rPr>
                <w:color w:val="000000"/>
              </w:rPr>
              <w:tab/>
              <w:t>4</w:t>
            </w:r>
          </w:hyperlink>
        </w:p>
        <w:p w:rsidR="003F2780" w:rsidRDefault="00C1530B">
          <w:pPr>
            <w:pBdr>
              <w:top w:val="nil"/>
              <w:left w:val="nil"/>
              <w:bottom w:val="nil"/>
              <w:right w:val="nil"/>
              <w:between w:val="nil"/>
            </w:pBdr>
            <w:tabs>
              <w:tab w:val="right" w:pos="9350"/>
            </w:tabs>
            <w:spacing w:after="100"/>
            <w:ind w:left="220"/>
            <w:rPr>
              <w:color w:val="000000"/>
            </w:rPr>
          </w:pPr>
          <w:hyperlink w:anchor="_2jxsxqh">
            <w:r w:rsidR="008F3083">
              <w:rPr>
                <w:color w:val="000000"/>
              </w:rPr>
              <w:t>7. References and documentation</w:t>
            </w:r>
            <w:r w:rsidR="008F3083">
              <w:rPr>
                <w:color w:val="000000"/>
              </w:rPr>
              <w:tab/>
              <w:t>4</w:t>
            </w:r>
          </w:hyperlink>
        </w:p>
        <w:p w:rsidR="003F2780" w:rsidRDefault="00C1530B">
          <w:pPr>
            <w:pBdr>
              <w:top w:val="nil"/>
              <w:left w:val="nil"/>
              <w:bottom w:val="nil"/>
              <w:right w:val="nil"/>
              <w:between w:val="nil"/>
            </w:pBdr>
            <w:tabs>
              <w:tab w:val="right" w:pos="9350"/>
            </w:tabs>
            <w:spacing w:after="100"/>
            <w:rPr>
              <w:color w:val="000000"/>
            </w:rPr>
          </w:pPr>
          <w:hyperlink w:anchor="_2s8eyo1">
            <w:r w:rsidR="008F3083">
              <w:rPr>
                <w:color w:val="000000"/>
              </w:rPr>
              <w:t>Appendices</w:t>
            </w:r>
            <w:r w:rsidR="008F3083">
              <w:rPr>
                <w:color w:val="000000"/>
              </w:rPr>
              <w:tab/>
              <w:t>4</w:t>
            </w:r>
          </w:hyperlink>
        </w:p>
        <w:p w:rsidR="003F2780" w:rsidRDefault="00C1530B">
          <w:pPr>
            <w:pBdr>
              <w:top w:val="nil"/>
              <w:left w:val="nil"/>
              <w:bottom w:val="nil"/>
              <w:right w:val="nil"/>
              <w:between w:val="nil"/>
            </w:pBdr>
            <w:tabs>
              <w:tab w:val="right" w:pos="9350"/>
            </w:tabs>
            <w:spacing w:after="100"/>
            <w:ind w:left="220"/>
            <w:rPr>
              <w:color w:val="000000"/>
            </w:rPr>
          </w:pPr>
          <w:hyperlink w:anchor="_26in1rg">
            <w:r w:rsidR="008F3083">
              <w:rPr>
                <w:color w:val="000000"/>
              </w:rPr>
              <w:t>A. Definitions of Metadata Concepts</w:t>
            </w:r>
            <w:r w:rsidR="008F3083">
              <w:rPr>
                <w:color w:val="000000"/>
              </w:rPr>
              <w:tab/>
              <w:t>4</w:t>
            </w:r>
          </w:hyperlink>
        </w:p>
        <w:p w:rsidR="003F2780" w:rsidRDefault="00C1530B">
          <w:pPr>
            <w:pBdr>
              <w:top w:val="nil"/>
              <w:left w:val="nil"/>
              <w:bottom w:val="nil"/>
              <w:right w:val="nil"/>
              <w:between w:val="nil"/>
            </w:pBdr>
            <w:tabs>
              <w:tab w:val="right" w:pos="9350"/>
            </w:tabs>
            <w:spacing w:after="100"/>
            <w:ind w:left="220"/>
            <w:rPr>
              <w:color w:val="000000"/>
            </w:rPr>
          </w:pPr>
          <w:hyperlink w:anchor="_lnxbz9">
            <w:r w:rsidR="008F3083">
              <w:rPr>
                <w:color w:val="000000"/>
              </w:rPr>
              <w:t>B. Mapping of SDMX Detailed Concepts to IAEG-SDG File Format</w:t>
            </w:r>
            <w:r w:rsidR="008F3083">
              <w:rPr>
                <w:color w:val="000000"/>
              </w:rPr>
              <w:tab/>
              <w:t>7</w:t>
            </w:r>
          </w:hyperlink>
        </w:p>
        <w:p w:rsidR="003F2780" w:rsidRDefault="00C1530B">
          <w:pPr>
            <w:pBdr>
              <w:top w:val="nil"/>
              <w:left w:val="nil"/>
              <w:bottom w:val="nil"/>
              <w:right w:val="nil"/>
              <w:between w:val="nil"/>
            </w:pBdr>
            <w:tabs>
              <w:tab w:val="right" w:pos="9350"/>
            </w:tabs>
            <w:spacing w:after="100"/>
            <w:ind w:left="220"/>
            <w:rPr>
              <w:color w:val="000000"/>
            </w:rPr>
          </w:pPr>
          <w:hyperlink w:anchor="_1ksv4uv">
            <w:r w:rsidR="008F3083">
              <w:rPr>
                <w:color w:val="000000"/>
              </w:rPr>
              <w:t>C. Mapping of IAEG-SDG File Format to SDMX Detailed Concepts</w:t>
            </w:r>
            <w:r w:rsidR="008F3083">
              <w:rPr>
                <w:color w:val="000000"/>
              </w:rPr>
              <w:tab/>
              <w:t>8</w:t>
            </w:r>
          </w:hyperlink>
        </w:p>
        <w:p w:rsidR="003F2780" w:rsidRDefault="008F3083">
          <w:pPr>
            <w:tabs>
              <w:tab w:val="left" w:pos="910"/>
            </w:tabs>
            <w:rPr>
              <w:b/>
            </w:rPr>
          </w:pPr>
          <w:r>
            <w:fldChar w:fldCharType="end"/>
          </w:r>
        </w:p>
      </w:sdtContent>
    </w:sdt>
    <w:p w:rsidR="003F2780" w:rsidRDefault="008F3083">
      <w:pPr>
        <w:pBdr>
          <w:top w:val="nil"/>
          <w:left w:val="nil"/>
          <w:bottom w:val="single" w:sz="12" w:space="4" w:color="DDDDDD"/>
          <w:right w:val="nil"/>
          <w:between w:val="nil"/>
        </w:pBdr>
        <w:shd w:val="clear" w:color="auto" w:fill="FFFFFF"/>
        <w:spacing w:after="0" w:line="276" w:lineRule="auto"/>
        <w:rPr>
          <w:color w:val="1C75BC"/>
          <w:sz w:val="36"/>
          <w:szCs w:val="36"/>
        </w:rPr>
      </w:pPr>
      <w:r>
        <w:rPr>
          <w:color w:val="1C75BC"/>
          <w:sz w:val="36"/>
          <w:szCs w:val="36"/>
        </w:rPr>
        <w:t>Instructions</w:t>
      </w:r>
    </w:p>
    <w:p w:rsidR="003F2780" w:rsidRDefault="008F3083">
      <w:r>
        <w:rPr>
          <w:b/>
        </w:rPr>
        <w:t>This is a template for providing metadata for SDG indicators</w:t>
      </w:r>
      <w:r>
        <w:t xml:space="preserve">. The tables listed below use the SDMX Metadata Concepts prepared by the SDG SDMX Working Group of the IAEG-SDGs to provide a standard format for your metadata. This enables more efficient and accurate processing. </w:t>
      </w:r>
    </w:p>
    <w:p w:rsidR="003F2780" w:rsidRDefault="008F3083">
      <w:r>
        <w:rPr>
          <w:b/>
        </w:rPr>
        <w:t>Both national and global metadata can be submitted using this tool.</w:t>
      </w:r>
      <w:r>
        <w:t xml:space="preserve"> Headers, text, bullets, tables, formulas, and images can be cut and pasted into their corresponding cell without additional formatting.</w:t>
      </w:r>
      <w:r>
        <w:rPr>
          <w:vertAlign w:val="superscript"/>
        </w:rPr>
        <w:footnoteReference w:id="1"/>
      </w:r>
      <w:r>
        <w:t xml:space="preserve"> A </w:t>
      </w:r>
      <w:hyperlink w:anchor="35nkun2">
        <w:r>
          <w:rPr>
            <w:color w:val="0563C1"/>
            <w:u w:val="single"/>
          </w:rPr>
          <w:t>mapping</w:t>
        </w:r>
      </w:hyperlink>
      <w:r>
        <w:t xml:space="preserve"> of the IAEG-SDG metadata file format to SDMX metadata concepts is also provided.</w:t>
      </w:r>
    </w:p>
    <w:p w:rsidR="003F2780" w:rsidRDefault="008F3083">
      <w:r>
        <w:rPr>
          <w:b/>
        </w:rPr>
        <w:t>Use only the metadata concepts provided</w:t>
      </w:r>
      <w:r>
        <w:t xml:space="preserve">. Do not add additional metadata concepts. Only the SDMX Metadata Concepts will be read by our automation tool. If you are not sure where to put metadata within the existing SDMX Metadata Concepts, see the </w:t>
      </w:r>
      <w:hyperlink w:anchor="z337ya">
        <w:r>
          <w:rPr>
            <w:color w:val="0563C1"/>
            <w:u w:val="single"/>
          </w:rPr>
          <w:t>descriptions</w:t>
        </w:r>
      </w:hyperlink>
      <w:r>
        <w:t xml:space="preserve"> provided or contact [INSERT].</w:t>
      </w:r>
    </w:p>
    <w:p w:rsidR="003F2780" w:rsidRDefault="008F3083">
      <w:r>
        <w:rPr>
          <w:b/>
        </w:rPr>
        <w:t>Submit one set of tables for each SDG indicator metadata file</w:t>
      </w:r>
      <w:r>
        <w:t>. Files should be emailed to [INSERT].</w:t>
      </w:r>
    </w:p>
    <w:p w:rsidR="003F2780" w:rsidRDefault="003F2780"/>
    <w:p w:rsidR="003F2780" w:rsidRDefault="008F3083">
      <w:pPr>
        <w:pBdr>
          <w:top w:val="nil"/>
          <w:left w:val="nil"/>
          <w:bottom w:val="single" w:sz="12" w:space="4" w:color="DDDDDD"/>
          <w:right w:val="nil"/>
          <w:between w:val="nil"/>
        </w:pBdr>
        <w:shd w:val="clear" w:color="auto" w:fill="FFFFFF"/>
        <w:spacing w:after="0" w:line="276" w:lineRule="auto"/>
        <w:rPr>
          <w:color w:val="1C75BC"/>
          <w:sz w:val="36"/>
          <w:szCs w:val="36"/>
        </w:rPr>
      </w:pPr>
      <w:bookmarkStart w:id="0" w:name="_gjdgxs" w:colFirst="0" w:colLast="0"/>
      <w:bookmarkEnd w:id="0"/>
      <w:r>
        <w:rPr>
          <w:color w:val="1C75BC"/>
          <w:sz w:val="36"/>
          <w:szCs w:val="36"/>
        </w:rPr>
        <w:t>Metadata Attachment</w:t>
      </w:r>
    </w:p>
    <w:p w:rsidR="003F2780" w:rsidRDefault="008F3083">
      <w:pPr>
        <w:spacing w:after="0"/>
        <w:rPr>
          <w:sz w:val="26"/>
          <w:szCs w:val="26"/>
        </w:rPr>
      </w:pPr>
      <w:r>
        <w:rPr>
          <w:sz w:val="26"/>
          <w:szCs w:val="26"/>
        </w:rPr>
        <w:t>Reporting type</w:t>
      </w:r>
    </w:p>
    <w:p w:rsidR="003F2780" w:rsidRDefault="008F3083">
      <w:r>
        <w:t>National</w:t>
      </w:r>
    </w:p>
    <w:p w:rsidR="003F2780" w:rsidRDefault="008F3083">
      <w:pPr>
        <w:spacing w:after="0"/>
        <w:rPr>
          <w:sz w:val="26"/>
          <w:szCs w:val="26"/>
        </w:rPr>
      </w:pPr>
      <w:r>
        <w:rPr>
          <w:sz w:val="26"/>
          <w:szCs w:val="26"/>
        </w:rPr>
        <w:t>SDG series</w:t>
      </w:r>
    </w:p>
    <w:p w:rsidR="003F2780" w:rsidRDefault="008F3083">
      <w:r>
        <w:t>1.2.1 Proportion of population living below the national poverty line [1.2.1]</w:t>
      </w:r>
    </w:p>
    <w:p w:rsidR="003F2780" w:rsidRDefault="008F3083">
      <w:pPr>
        <w:spacing w:after="0"/>
        <w:rPr>
          <w:sz w:val="26"/>
          <w:szCs w:val="26"/>
        </w:rPr>
      </w:pPr>
      <w:r>
        <w:rPr>
          <w:sz w:val="26"/>
          <w:szCs w:val="26"/>
        </w:rPr>
        <w:t>Reference area</w:t>
      </w:r>
    </w:p>
    <w:p w:rsidR="003F2780" w:rsidRDefault="008F3083">
      <w:r>
        <w:t>Mozambique</w:t>
      </w:r>
    </w:p>
    <w:p w:rsidR="003F2780" w:rsidRDefault="008F3083">
      <w:pPr>
        <w:spacing w:after="0"/>
        <w:rPr>
          <w:sz w:val="26"/>
          <w:szCs w:val="26"/>
        </w:rPr>
      </w:pPr>
      <w:r>
        <w:rPr>
          <w:sz w:val="26"/>
          <w:szCs w:val="26"/>
        </w:rPr>
        <w:t>Metadata language</w:t>
      </w:r>
    </w:p>
    <w:p w:rsidR="003F2780" w:rsidRDefault="008F3083">
      <w:r>
        <w:t>English</w:t>
      </w:r>
    </w:p>
    <w:p w:rsidR="003F2780" w:rsidRDefault="003F2780"/>
    <w:p w:rsidR="003F2780" w:rsidRDefault="008F3083">
      <w:pPr>
        <w:pStyle w:val="Heading2"/>
      </w:pPr>
      <w:r>
        <w:t>Import Data Structure Definition</w:t>
      </w:r>
    </w:p>
    <w:p w:rsidR="003F2780" w:rsidRDefault="008F3083">
      <w:r>
        <w:t>To update the options in the dropdowns according to your SDMX DSD, click the button below:</w:t>
      </w:r>
    </w:p>
    <w:p w:rsidR="003F2780" w:rsidRDefault="008F3083">
      <w:r>
        <w:rPr>
          <w:noProof/>
          <w:lang w:val="pt-PT" w:eastAsia="pt-PT"/>
        </w:rPr>
        <w:drawing>
          <wp:inline distT="0" distB="0" distL="114300" distR="114300">
            <wp:extent cx="1257300" cy="3048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1257300" cy="304800"/>
                    </a:xfrm>
                    <a:prstGeom prst="rect">
                      <a:avLst/>
                    </a:prstGeom>
                    <a:ln/>
                  </pic:spPr>
                </pic:pic>
              </a:graphicData>
            </a:graphic>
          </wp:inline>
        </w:drawing>
      </w:r>
    </w:p>
    <w:p w:rsidR="003F2780" w:rsidRDefault="003F2780"/>
    <w:p w:rsidR="003F2780" w:rsidRDefault="008F3083">
      <w:pPr>
        <w:pBdr>
          <w:top w:val="nil"/>
          <w:left w:val="nil"/>
          <w:bottom w:val="single" w:sz="12" w:space="4" w:color="DDDDDD"/>
          <w:right w:val="nil"/>
          <w:between w:val="nil"/>
        </w:pBdr>
        <w:shd w:val="clear" w:color="auto" w:fill="FFFFFF"/>
        <w:spacing w:after="0" w:line="276" w:lineRule="auto"/>
        <w:rPr>
          <w:color w:val="1C75BC"/>
          <w:sz w:val="36"/>
          <w:szCs w:val="36"/>
        </w:rPr>
      </w:pPr>
      <w:bookmarkStart w:id="1" w:name="_30j0zll" w:colFirst="0" w:colLast="0"/>
      <w:bookmarkEnd w:id="1"/>
      <w:r>
        <w:rPr>
          <w:color w:val="1C75BC"/>
          <w:sz w:val="36"/>
          <w:szCs w:val="36"/>
        </w:rPr>
        <w:t>Metadata Submission Form</w:t>
      </w:r>
    </w:p>
    <w:p w:rsidR="003F2780" w:rsidRDefault="003F2780"/>
    <w:tbl>
      <w:tblPr>
        <w:tblStyle w:val="a"/>
        <w:tblW w:w="8887" w:type="dxa"/>
        <w:tblLayout w:type="fixed"/>
        <w:tblLook w:val="0400" w:firstRow="0" w:lastRow="0" w:firstColumn="0" w:lastColumn="0" w:noHBand="0" w:noVBand="1"/>
      </w:tblPr>
      <w:tblGrid>
        <w:gridCol w:w="3086"/>
        <w:gridCol w:w="5801"/>
      </w:tblGrid>
      <w:tr w:rsidR="003F2780">
        <w:trPr>
          <w:trHeight w:val="470"/>
        </w:trPr>
        <w:tc>
          <w:tcPr>
            <w:tcW w:w="8887" w:type="dxa"/>
            <w:gridSpan w:val="2"/>
            <w:tcBorders>
              <w:top w:val="nil"/>
              <w:left w:val="nil"/>
              <w:bottom w:val="nil"/>
              <w:right w:val="nil"/>
            </w:tcBorders>
            <w:shd w:val="clear" w:color="auto" w:fill="auto"/>
            <w:vAlign w:val="bottom"/>
          </w:tcPr>
          <w:p w:rsidR="003F2780" w:rsidRDefault="008F3083">
            <w:pPr>
              <w:pStyle w:val="Heading2"/>
              <w:rPr>
                <w:rFonts w:ascii="Times New Roman" w:eastAsia="Times New Roman" w:hAnsi="Times New Roman" w:cs="Times New Roman"/>
                <w:sz w:val="32"/>
                <w:szCs w:val="32"/>
              </w:rPr>
            </w:pPr>
            <w:bookmarkStart w:id="2" w:name="_1fob9te" w:colFirst="0" w:colLast="0"/>
            <w:bookmarkEnd w:id="2"/>
            <w:r>
              <w:rPr>
                <w:sz w:val="32"/>
                <w:szCs w:val="32"/>
              </w:rPr>
              <w:t>0. Indicator information</w:t>
            </w:r>
          </w:p>
        </w:tc>
      </w:tr>
      <w:tr w:rsidR="003F2780">
        <w:trPr>
          <w:trHeight w:val="300"/>
        </w:trPr>
        <w:tc>
          <w:tcPr>
            <w:tcW w:w="3086" w:type="dxa"/>
            <w:tcBorders>
              <w:top w:val="nil"/>
              <w:left w:val="nil"/>
              <w:bottom w:val="nil"/>
              <w:right w:val="nil"/>
            </w:tcBorders>
            <w:shd w:val="clear" w:color="auto" w:fill="D9E1F2"/>
            <w:vAlign w:val="bottom"/>
          </w:tcPr>
          <w:p w:rsidR="003F2780" w:rsidRDefault="008F3083">
            <w:pPr>
              <w:spacing w:after="0" w:line="240" w:lineRule="auto"/>
              <w:rPr>
                <w:color w:val="000000"/>
              </w:rPr>
            </w:pPr>
            <w:r>
              <w:rPr>
                <w:color w:val="000000"/>
              </w:rPr>
              <w:t>Concept name</w:t>
            </w:r>
          </w:p>
        </w:tc>
        <w:tc>
          <w:tcPr>
            <w:tcW w:w="5801" w:type="dxa"/>
            <w:tcBorders>
              <w:top w:val="nil"/>
              <w:left w:val="nil"/>
              <w:bottom w:val="nil"/>
              <w:right w:val="nil"/>
            </w:tcBorders>
            <w:shd w:val="clear" w:color="auto" w:fill="D9E1F2"/>
            <w:vAlign w:val="bottom"/>
          </w:tcPr>
          <w:p w:rsidR="003F2780" w:rsidRDefault="008F3083">
            <w:pPr>
              <w:spacing w:after="0" w:line="240" w:lineRule="auto"/>
              <w:rPr>
                <w:i/>
                <w:color w:val="000000"/>
              </w:rPr>
            </w:pPr>
            <w:r>
              <w:rPr>
                <w:i/>
                <w:color w:val="000000"/>
              </w:rPr>
              <w:t xml:space="preserve">Insert text, lists, tables, and images. </w:t>
            </w:r>
          </w:p>
        </w:tc>
      </w:tr>
      <w:tr w:rsidR="003F2780">
        <w:tc>
          <w:tcPr>
            <w:tcW w:w="3086" w:type="dxa"/>
            <w:tcBorders>
              <w:top w:val="single" w:sz="4" w:space="0" w:color="000000"/>
              <w:left w:val="nil"/>
              <w:bottom w:val="single" w:sz="4" w:space="0" w:color="000000"/>
              <w:right w:val="single" w:sz="4" w:space="0" w:color="000000"/>
            </w:tcBorders>
            <w:shd w:val="clear" w:color="auto" w:fill="E7E6E6"/>
          </w:tcPr>
          <w:p w:rsidR="003F2780" w:rsidRDefault="008F3083">
            <w:pPr>
              <w:spacing w:after="0" w:line="240" w:lineRule="auto"/>
            </w:pPr>
            <w:r>
              <w:t>0. Indicator information</w:t>
            </w:r>
          </w:p>
        </w:tc>
        <w:tc>
          <w:tcPr>
            <w:tcW w:w="5801" w:type="dxa"/>
            <w:tcBorders>
              <w:top w:val="single" w:sz="4" w:space="0" w:color="000000"/>
              <w:left w:val="nil"/>
              <w:bottom w:val="single" w:sz="4" w:space="0" w:color="000000"/>
              <w:right w:val="single" w:sz="4" w:space="0" w:color="000000"/>
            </w:tcBorders>
            <w:shd w:val="clear" w:color="auto" w:fill="auto"/>
          </w:tcPr>
          <w:p w:rsidR="003F2780" w:rsidRDefault="008F3083">
            <w:r>
              <w:t xml:space="preserve"> </w:t>
            </w:r>
          </w:p>
        </w:tc>
      </w:tr>
      <w:tr w:rsidR="003F2780" w:rsidRPr="003F688B">
        <w:tc>
          <w:tcPr>
            <w:tcW w:w="3086" w:type="dxa"/>
            <w:tcBorders>
              <w:top w:val="single" w:sz="4" w:space="0" w:color="000000"/>
              <w:left w:val="nil"/>
              <w:bottom w:val="single" w:sz="4" w:space="0" w:color="000000"/>
              <w:right w:val="single" w:sz="4" w:space="0" w:color="000000"/>
            </w:tcBorders>
            <w:shd w:val="clear" w:color="auto" w:fill="E7E6E6"/>
          </w:tcPr>
          <w:p w:rsidR="003F2780" w:rsidRDefault="008F3083">
            <w:pPr>
              <w:spacing w:after="0" w:line="240" w:lineRule="auto"/>
              <w:ind w:left="155"/>
              <w:rPr>
                <w:color w:val="000000"/>
              </w:rPr>
            </w:pPr>
            <w:r>
              <w:t>0.a. Goal</w:t>
            </w:r>
          </w:p>
        </w:tc>
        <w:tc>
          <w:tcPr>
            <w:tcW w:w="5801" w:type="dxa"/>
            <w:tcBorders>
              <w:top w:val="single" w:sz="4" w:space="0" w:color="000000"/>
              <w:left w:val="nil"/>
              <w:bottom w:val="single" w:sz="4" w:space="0" w:color="000000"/>
              <w:right w:val="single" w:sz="4" w:space="0" w:color="000000"/>
            </w:tcBorders>
            <w:shd w:val="clear" w:color="auto" w:fill="auto"/>
          </w:tcPr>
          <w:p w:rsidR="003F2780" w:rsidRPr="00F0033A" w:rsidRDefault="00FA3E21">
            <w:pPr>
              <w:jc w:val="both"/>
              <w:rPr>
                <w:rFonts w:asciiTheme="majorHAnsi" w:eastAsia="Times New Roman" w:hAnsiTheme="majorHAnsi" w:cstheme="majorHAnsi"/>
                <w:szCs w:val="24"/>
                <w:lang w:val="pt-PT"/>
              </w:rPr>
            </w:pPr>
            <w:r w:rsidRPr="00F0033A">
              <w:rPr>
                <w:rFonts w:asciiTheme="majorHAnsi" w:eastAsia="Times New Roman" w:hAnsiTheme="majorHAnsi" w:cstheme="majorHAnsi"/>
                <w:szCs w:val="24"/>
                <w:lang w:val="pt-PT"/>
              </w:rPr>
              <w:t xml:space="preserve">1 </w:t>
            </w:r>
            <w:r w:rsidR="008F3083" w:rsidRPr="00F0033A">
              <w:rPr>
                <w:rFonts w:asciiTheme="majorHAnsi" w:eastAsia="Times New Roman" w:hAnsiTheme="majorHAnsi" w:cstheme="majorHAnsi"/>
                <w:szCs w:val="24"/>
                <w:lang w:val="pt-PT"/>
              </w:rPr>
              <w:t xml:space="preserve">ERRADICAR A POBREZA EM TODAS AS SUAS FORMAS, EM TODOS OS LUGARES </w:t>
            </w:r>
          </w:p>
        </w:tc>
      </w:tr>
      <w:tr w:rsidR="003F2780" w:rsidRPr="003F688B">
        <w:tc>
          <w:tcPr>
            <w:tcW w:w="3086" w:type="dxa"/>
            <w:tcBorders>
              <w:top w:val="nil"/>
              <w:left w:val="nil"/>
              <w:bottom w:val="single" w:sz="4" w:space="0" w:color="000000"/>
              <w:right w:val="single" w:sz="4" w:space="0" w:color="000000"/>
            </w:tcBorders>
            <w:shd w:val="clear" w:color="auto" w:fill="E7E6E6"/>
          </w:tcPr>
          <w:p w:rsidR="003F2780" w:rsidRDefault="008F3083">
            <w:pPr>
              <w:spacing w:after="0" w:line="240" w:lineRule="auto"/>
              <w:ind w:left="155"/>
              <w:rPr>
                <w:color w:val="000000"/>
              </w:rPr>
            </w:pPr>
            <w:r>
              <w:t>0.b. Target</w:t>
            </w:r>
          </w:p>
        </w:tc>
        <w:tc>
          <w:tcPr>
            <w:tcW w:w="5801" w:type="dxa"/>
            <w:tcBorders>
              <w:top w:val="nil"/>
              <w:left w:val="nil"/>
              <w:bottom w:val="single" w:sz="4" w:space="0" w:color="000000"/>
              <w:right w:val="single" w:sz="4" w:space="0" w:color="000000"/>
            </w:tcBorders>
            <w:shd w:val="clear" w:color="auto" w:fill="auto"/>
          </w:tcPr>
          <w:p w:rsidR="003F2780" w:rsidRPr="00F0033A" w:rsidRDefault="00FA3E21">
            <w:pPr>
              <w:jc w:val="both"/>
              <w:rPr>
                <w:rFonts w:asciiTheme="majorHAnsi" w:eastAsia="Times New Roman" w:hAnsiTheme="majorHAnsi" w:cstheme="majorHAnsi"/>
                <w:szCs w:val="24"/>
                <w:lang w:val="pt-PT"/>
              </w:rPr>
            </w:pPr>
            <w:r w:rsidRPr="00F0033A">
              <w:rPr>
                <w:rFonts w:asciiTheme="majorHAnsi" w:eastAsia="Times New Roman" w:hAnsiTheme="majorHAnsi" w:cstheme="majorHAnsi"/>
                <w:szCs w:val="24"/>
                <w:lang w:val="pt-PT"/>
              </w:rPr>
              <w:t>1.2</w:t>
            </w:r>
            <w:r w:rsidR="008F3083" w:rsidRPr="00F0033A">
              <w:rPr>
                <w:rFonts w:asciiTheme="majorHAnsi" w:eastAsia="Times New Roman" w:hAnsiTheme="majorHAnsi" w:cstheme="majorHAnsi"/>
                <w:szCs w:val="24"/>
                <w:lang w:val="pt-PT"/>
              </w:rPr>
              <w:t xml:space="preserve"> Até 2030, reduzir pelo menos à metade, a proporção de homens, mulheres e crianças, de todas as idades, que vivem na pobreza, em todas as suas dimensões, de acordo</w:t>
            </w:r>
          </w:p>
        </w:tc>
      </w:tr>
      <w:tr w:rsidR="003F2780" w:rsidRPr="003F688B">
        <w:tc>
          <w:tcPr>
            <w:tcW w:w="3086" w:type="dxa"/>
            <w:tcBorders>
              <w:top w:val="nil"/>
              <w:left w:val="nil"/>
              <w:bottom w:val="single" w:sz="4" w:space="0" w:color="000000"/>
              <w:right w:val="single" w:sz="4" w:space="0" w:color="000000"/>
            </w:tcBorders>
            <w:shd w:val="clear" w:color="auto" w:fill="E7E6E6"/>
          </w:tcPr>
          <w:p w:rsidR="003F2780" w:rsidRDefault="008F3083">
            <w:pPr>
              <w:spacing w:after="0" w:line="240" w:lineRule="auto"/>
              <w:ind w:left="155"/>
              <w:rPr>
                <w:color w:val="000000"/>
              </w:rPr>
            </w:pPr>
            <w:r>
              <w:t>0.c. Indicator</w:t>
            </w:r>
          </w:p>
        </w:tc>
        <w:tc>
          <w:tcPr>
            <w:tcW w:w="5801" w:type="dxa"/>
            <w:tcBorders>
              <w:top w:val="nil"/>
              <w:left w:val="nil"/>
              <w:bottom w:val="single" w:sz="4" w:space="0" w:color="000000"/>
              <w:right w:val="single" w:sz="4" w:space="0" w:color="000000"/>
            </w:tcBorders>
            <w:shd w:val="clear" w:color="auto" w:fill="auto"/>
          </w:tcPr>
          <w:p w:rsidR="003F2780" w:rsidRPr="00F0033A" w:rsidRDefault="008F3083">
            <w:pPr>
              <w:jc w:val="both"/>
              <w:rPr>
                <w:rFonts w:asciiTheme="majorHAnsi" w:eastAsia="Times New Roman" w:hAnsiTheme="majorHAnsi" w:cstheme="majorHAnsi"/>
                <w:szCs w:val="24"/>
                <w:lang w:val="pt-PT"/>
              </w:rPr>
            </w:pPr>
            <w:r w:rsidRPr="00F0033A">
              <w:rPr>
                <w:rFonts w:asciiTheme="majorHAnsi" w:eastAsia="Times New Roman" w:hAnsiTheme="majorHAnsi" w:cstheme="majorHAnsi"/>
                <w:szCs w:val="24"/>
                <w:lang w:val="pt-PT"/>
              </w:rPr>
              <w:t>1.2.1 Proporção da população que vive abaixo da linha de pobreza nacional, (pessoas vivendo com menos de MZN 26,7 por dia)</w:t>
            </w:r>
          </w:p>
        </w:tc>
      </w:tr>
      <w:tr w:rsidR="003F2780" w:rsidRPr="003F688B">
        <w:tc>
          <w:tcPr>
            <w:tcW w:w="3086" w:type="dxa"/>
            <w:tcBorders>
              <w:top w:val="nil"/>
              <w:left w:val="nil"/>
              <w:bottom w:val="single" w:sz="4" w:space="0" w:color="000000"/>
              <w:right w:val="single" w:sz="4" w:space="0" w:color="000000"/>
            </w:tcBorders>
            <w:shd w:val="clear" w:color="auto" w:fill="E7E6E6"/>
          </w:tcPr>
          <w:p w:rsidR="003F2780" w:rsidRDefault="008F3083">
            <w:pPr>
              <w:spacing w:after="0" w:line="240" w:lineRule="auto"/>
              <w:ind w:left="155"/>
              <w:rPr>
                <w:color w:val="000000"/>
              </w:rPr>
            </w:pPr>
            <w:r>
              <w:t>0.d. Series</w:t>
            </w:r>
          </w:p>
        </w:tc>
        <w:tc>
          <w:tcPr>
            <w:tcW w:w="5801" w:type="dxa"/>
            <w:tcBorders>
              <w:top w:val="nil"/>
              <w:left w:val="nil"/>
              <w:bottom w:val="single" w:sz="4" w:space="0" w:color="000000"/>
              <w:right w:val="single" w:sz="4" w:space="0" w:color="000000"/>
            </w:tcBorders>
            <w:shd w:val="clear" w:color="auto" w:fill="auto"/>
          </w:tcPr>
          <w:p w:rsidR="003F2780" w:rsidRPr="00F0033A" w:rsidRDefault="008F3083" w:rsidP="00FA3E21">
            <w:pPr>
              <w:jc w:val="both"/>
              <w:rPr>
                <w:rFonts w:asciiTheme="majorHAnsi" w:eastAsia="Times New Roman" w:hAnsiTheme="majorHAnsi" w:cstheme="majorHAnsi"/>
                <w:szCs w:val="24"/>
                <w:lang w:val="pt-PT"/>
              </w:rPr>
            </w:pPr>
            <w:r w:rsidRPr="00F0033A">
              <w:rPr>
                <w:rFonts w:asciiTheme="majorHAnsi" w:eastAsia="Times New Roman" w:hAnsiTheme="majorHAnsi" w:cstheme="majorHAnsi"/>
                <w:szCs w:val="24"/>
                <w:lang w:val="pt-PT"/>
              </w:rPr>
              <w:t>População abaixo da linha da pobreza nacional.</w:t>
            </w:r>
          </w:p>
        </w:tc>
      </w:tr>
      <w:tr w:rsidR="003F2780">
        <w:tc>
          <w:tcPr>
            <w:tcW w:w="3086" w:type="dxa"/>
            <w:tcBorders>
              <w:top w:val="nil"/>
              <w:left w:val="nil"/>
              <w:bottom w:val="single" w:sz="4" w:space="0" w:color="000000"/>
              <w:right w:val="single" w:sz="4" w:space="0" w:color="000000"/>
            </w:tcBorders>
            <w:shd w:val="clear" w:color="auto" w:fill="E7E6E6"/>
          </w:tcPr>
          <w:p w:rsidR="003F2780" w:rsidRDefault="008F3083">
            <w:pPr>
              <w:spacing w:after="0" w:line="240" w:lineRule="auto"/>
              <w:ind w:left="155"/>
              <w:rPr>
                <w:color w:val="000000"/>
              </w:rPr>
            </w:pPr>
            <w:r>
              <w:t>0.e. Metadata update</w:t>
            </w:r>
          </w:p>
        </w:tc>
        <w:tc>
          <w:tcPr>
            <w:tcW w:w="5801" w:type="dxa"/>
            <w:tcBorders>
              <w:top w:val="nil"/>
              <w:left w:val="nil"/>
              <w:bottom w:val="single" w:sz="4" w:space="0" w:color="000000"/>
              <w:right w:val="single" w:sz="4" w:space="0" w:color="000000"/>
            </w:tcBorders>
            <w:shd w:val="clear" w:color="auto" w:fill="auto"/>
          </w:tcPr>
          <w:p w:rsidR="003F2780" w:rsidRPr="00F0033A" w:rsidRDefault="00002DE2" w:rsidP="00002DE2">
            <w:pPr>
              <w:jc w:val="both"/>
              <w:rPr>
                <w:rFonts w:asciiTheme="majorHAnsi" w:eastAsia="Times New Roman" w:hAnsiTheme="majorHAnsi" w:cstheme="majorHAnsi"/>
                <w:szCs w:val="24"/>
              </w:rPr>
            </w:pPr>
            <w:r w:rsidRPr="00F0033A">
              <w:rPr>
                <w:rFonts w:asciiTheme="majorHAnsi" w:eastAsia="Times New Roman" w:hAnsiTheme="majorHAnsi" w:cstheme="majorHAnsi"/>
                <w:szCs w:val="24"/>
              </w:rPr>
              <w:t>8/10/</w:t>
            </w:r>
            <w:r w:rsidR="008F3083" w:rsidRPr="00F0033A">
              <w:rPr>
                <w:rFonts w:asciiTheme="majorHAnsi" w:eastAsia="Times New Roman" w:hAnsiTheme="majorHAnsi" w:cstheme="majorHAnsi"/>
                <w:szCs w:val="24"/>
              </w:rPr>
              <w:t>2020</w:t>
            </w:r>
          </w:p>
        </w:tc>
      </w:tr>
      <w:tr w:rsidR="003F2780">
        <w:trPr>
          <w:trHeight w:val="332"/>
        </w:trPr>
        <w:tc>
          <w:tcPr>
            <w:tcW w:w="3086" w:type="dxa"/>
            <w:tcBorders>
              <w:top w:val="nil"/>
              <w:left w:val="nil"/>
              <w:bottom w:val="single" w:sz="4" w:space="0" w:color="000000"/>
              <w:right w:val="single" w:sz="4" w:space="0" w:color="000000"/>
            </w:tcBorders>
            <w:shd w:val="clear" w:color="auto" w:fill="E7E6E6"/>
          </w:tcPr>
          <w:p w:rsidR="003F2780" w:rsidRDefault="008F3083">
            <w:pPr>
              <w:spacing w:after="0" w:line="240" w:lineRule="auto"/>
              <w:ind w:left="155"/>
              <w:rPr>
                <w:color w:val="000000"/>
              </w:rPr>
            </w:pPr>
            <w:r>
              <w:t>0.f. Related indicators</w:t>
            </w:r>
          </w:p>
        </w:tc>
        <w:tc>
          <w:tcPr>
            <w:tcW w:w="5801" w:type="dxa"/>
            <w:tcBorders>
              <w:top w:val="nil"/>
              <w:left w:val="nil"/>
              <w:bottom w:val="single" w:sz="4" w:space="0" w:color="000000"/>
              <w:right w:val="single" w:sz="4" w:space="0" w:color="000000"/>
            </w:tcBorders>
            <w:shd w:val="clear" w:color="auto" w:fill="auto"/>
          </w:tcPr>
          <w:p w:rsidR="003F2780" w:rsidRDefault="003F2780"/>
        </w:tc>
      </w:tr>
      <w:tr w:rsidR="003F2780">
        <w:tc>
          <w:tcPr>
            <w:tcW w:w="3086" w:type="dxa"/>
            <w:tcBorders>
              <w:top w:val="nil"/>
              <w:left w:val="nil"/>
              <w:bottom w:val="single" w:sz="4" w:space="0" w:color="000000"/>
              <w:right w:val="single" w:sz="4" w:space="0" w:color="000000"/>
            </w:tcBorders>
            <w:shd w:val="clear" w:color="auto" w:fill="E7E6E6"/>
          </w:tcPr>
          <w:p w:rsidR="003F2780" w:rsidRDefault="008F3083">
            <w:pPr>
              <w:spacing w:after="0" w:line="240" w:lineRule="auto"/>
              <w:ind w:left="155"/>
              <w:rPr>
                <w:color w:val="000000"/>
              </w:rPr>
            </w:pPr>
            <w:r>
              <w:t>0.g. International organisations(s) responsible for global monitoring</w:t>
            </w:r>
          </w:p>
        </w:tc>
        <w:tc>
          <w:tcPr>
            <w:tcW w:w="5801" w:type="dxa"/>
            <w:tcBorders>
              <w:top w:val="nil"/>
              <w:left w:val="nil"/>
              <w:bottom w:val="single" w:sz="4" w:space="0" w:color="000000"/>
              <w:right w:val="single" w:sz="4" w:space="0" w:color="000000"/>
            </w:tcBorders>
            <w:shd w:val="clear" w:color="auto" w:fill="auto"/>
          </w:tcPr>
          <w:p w:rsidR="003F2780" w:rsidRDefault="003F2780">
            <w:pPr>
              <w:jc w:val="both"/>
              <w:rPr>
                <w:rFonts w:ascii="Times New Roman" w:eastAsia="Times New Roman" w:hAnsi="Times New Roman" w:cs="Times New Roman"/>
                <w:sz w:val="24"/>
                <w:szCs w:val="24"/>
              </w:rPr>
            </w:pPr>
          </w:p>
        </w:tc>
      </w:tr>
    </w:tbl>
    <w:p w:rsidR="003F2780" w:rsidRDefault="003F2780"/>
    <w:tbl>
      <w:tblPr>
        <w:tblStyle w:val="a0"/>
        <w:tblW w:w="8887" w:type="dxa"/>
        <w:tblLayout w:type="fixed"/>
        <w:tblLook w:val="0400" w:firstRow="0" w:lastRow="0" w:firstColumn="0" w:lastColumn="0" w:noHBand="0" w:noVBand="1"/>
      </w:tblPr>
      <w:tblGrid>
        <w:gridCol w:w="3182"/>
        <w:gridCol w:w="5705"/>
      </w:tblGrid>
      <w:tr w:rsidR="003F2780">
        <w:trPr>
          <w:trHeight w:val="432"/>
        </w:trPr>
        <w:tc>
          <w:tcPr>
            <w:tcW w:w="8887" w:type="dxa"/>
            <w:gridSpan w:val="2"/>
            <w:tcBorders>
              <w:top w:val="nil"/>
              <w:left w:val="nil"/>
              <w:bottom w:val="nil"/>
              <w:right w:val="nil"/>
            </w:tcBorders>
            <w:shd w:val="clear" w:color="auto" w:fill="auto"/>
            <w:vAlign w:val="bottom"/>
          </w:tcPr>
          <w:p w:rsidR="003F2780" w:rsidRDefault="008F3083">
            <w:pPr>
              <w:pStyle w:val="Heading2"/>
              <w:rPr>
                <w:rFonts w:ascii="Times New Roman" w:eastAsia="Times New Roman" w:hAnsi="Times New Roman" w:cs="Times New Roman"/>
                <w:sz w:val="32"/>
                <w:szCs w:val="32"/>
              </w:rPr>
            </w:pPr>
            <w:bookmarkStart w:id="3" w:name="_3znysh7" w:colFirst="0" w:colLast="0"/>
            <w:bookmarkEnd w:id="3"/>
            <w:r>
              <w:rPr>
                <w:sz w:val="32"/>
                <w:szCs w:val="32"/>
              </w:rPr>
              <w:t>1. Data reporter</w:t>
            </w:r>
          </w:p>
        </w:tc>
      </w:tr>
      <w:tr w:rsidR="003F2780">
        <w:trPr>
          <w:trHeight w:val="300"/>
        </w:trPr>
        <w:tc>
          <w:tcPr>
            <w:tcW w:w="3182" w:type="dxa"/>
            <w:tcBorders>
              <w:top w:val="nil"/>
              <w:left w:val="nil"/>
              <w:bottom w:val="nil"/>
              <w:right w:val="nil"/>
            </w:tcBorders>
            <w:shd w:val="clear" w:color="auto" w:fill="D9E1F2"/>
            <w:vAlign w:val="bottom"/>
          </w:tcPr>
          <w:p w:rsidR="003F2780" w:rsidRDefault="008F3083">
            <w:pPr>
              <w:spacing w:after="0" w:line="240" w:lineRule="auto"/>
              <w:rPr>
                <w:color w:val="000000"/>
              </w:rPr>
            </w:pPr>
            <w:r>
              <w:rPr>
                <w:color w:val="000000"/>
              </w:rPr>
              <w:t>Concept name</w:t>
            </w:r>
          </w:p>
        </w:tc>
        <w:tc>
          <w:tcPr>
            <w:tcW w:w="5705" w:type="dxa"/>
            <w:tcBorders>
              <w:top w:val="nil"/>
              <w:left w:val="nil"/>
              <w:bottom w:val="nil"/>
              <w:right w:val="nil"/>
            </w:tcBorders>
            <w:shd w:val="clear" w:color="auto" w:fill="D9E1F2"/>
            <w:vAlign w:val="bottom"/>
          </w:tcPr>
          <w:p w:rsidR="003F2780" w:rsidRDefault="008F3083">
            <w:pPr>
              <w:spacing w:after="0" w:line="240" w:lineRule="auto"/>
              <w:rPr>
                <w:color w:val="000000"/>
              </w:rPr>
            </w:pPr>
            <w:r>
              <w:rPr>
                <w:i/>
                <w:color w:val="000000"/>
              </w:rPr>
              <w:t xml:space="preserve">Insert text, lists, tables, and images. </w:t>
            </w:r>
          </w:p>
        </w:tc>
      </w:tr>
      <w:tr w:rsidR="003F2780">
        <w:tc>
          <w:tcPr>
            <w:tcW w:w="3182" w:type="dxa"/>
            <w:tcBorders>
              <w:top w:val="single" w:sz="4" w:space="0" w:color="000000"/>
              <w:left w:val="nil"/>
              <w:bottom w:val="single" w:sz="4" w:space="0" w:color="000000"/>
              <w:right w:val="single" w:sz="4" w:space="0" w:color="000000"/>
            </w:tcBorders>
            <w:shd w:val="clear" w:color="auto" w:fill="E7E6E6"/>
          </w:tcPr>
          <w:p w:rsidR="003F2780" w:rsidRDefault="008F3083">
            <w:pPr>
              <w:spacing w:after="0" w:line="240" w:lineRule="auto"/>
            </w:pPr>
            <w:r>
              <w:t>1. Data reporter</w:t>
            </w:r>
          </w:p>
        </w:tc>
        <w:tc>
          <w:tcPr>
            <w:tcW w:w="5705" w:type="dxa"/>
            <w:tcBorders>
              <w:top w:val="single" w:sz="4" w:space="0" w:color="000000"/>
              <w:left w:val="nil"/>
              <w:bottom w:val="single" w:sz="4" w:space="0" w:color="000000"/>
              <w:right w:val="single" w:sz="4" w:space="0" w:color="000000"/>
            </w:tcBorders>
            <w:shd w:val="clear" w:color="auto" w:fill="auto"/>
          </w:tcPr>
          <w:p w:rsidR="003F2780" w:rsidRPr="00F0033A" w:rsidRDefault="003F2780" w:rsidP="00F0033A">
            <w:pPr>
              <w:jc w:val="both"/>
              <w:rPr>
                <w:rFonts w:asciiTheme="majorHAnsi" w:hAnsiTheme="majorHAnsi" w:cstheme="majorHAnsi"/>
              </w:rPr>
            </w:pPr>
          </w:p>
        </w:tc>
      </w:tr>
      <w:tr w:rsidR="003F2780" w:rsidRPr="003F688B">
        <w:tc>
          <w:tcPr>
            <w:tcW w:w="3182" w:type="dxa"/>
            <w:tcBorders>
              <w:top w:val="single" w:sz="4" w:space="0" w:color="000000"/>
              <w:left w:val="nil"/>
              <w:bottom w:val="single" w:sz="4" w:space="0" w:color="000000"/>
              <w:right w:val="single" w:sz="4" w:space="0" w:color="000000"/>
            </w:tcBorders>
            <w:shd w:val="clear" w:color="auto" w:fill="E7E6E6"/>
          </w:tcPr>
          <w:p w:rsidR="003F2780" w:rsidRDefault="008F3083">
            <w:pPr>
              <w:spacing w:after="0" w:line="240" w:lineRule="auto"/>
              <w:ind w:left="160"/>
              <w:rPr>
                <w:color w:val="000000"/>
              </w:rPr>
            </w:pPr>
            <w:r>
              <w:t>1.a. Organisation</w:t>
            </w:r>
          </w:p>
        </w:tc>
        <w:tc>
          <w:tcPr>
            <w:tcW w:w="5705" w:type="dxa"/>
            <w:tcBorders>
              <w:top w:val="single" w:sz="4" w:space="0" w:color="000000"/>
              <w:left w:val="nil"/>
              <w:bottom w:val="single" w:sz="4" w:space="0" w:color="000000"/>
              <w:right w:val="single" w:sz="4" w:space="0" w:color="000000"/>
            </w:tcBorders>
            <w:shd w:val="clear" w:color="auto" w:fill="auto"/>
          </w:tcPr>
          <w:p w:rsidR="003F2780" w:rsidRPr="00F0033A" w:rsidRDefault="008F3083" w:rsidP="00F0033A">
            <w:pPr>
              <w:jc w:val="both"/>
              <w:rPr>
                <w:rFonts w:asciiTheme="majorHAnsi" w:eastAsia="Times New Roman" w:hAnsiTheme="majorHAnsi" w:cstheme="majorHAnsi"/>
                <w:lang w:val="pt-PT"/>
              </w:rPr>
            </w:pPr>
            <w:r w:rsidRPr="00F0033A">
              <w:rPr>
                <w:rFonts w:asciiTheme="majorHAnsi" w:eastAsia="Times New Roman" w:hAnsiTheme="majorHAnsi" w:cstheme="majorHAnsi"/>
                <w:lang w:val="pt-PT"/>
              </w:rPr>
              <w:t>Ministério da Economia e Finanças (MEF)</w:t>
            </w:r>
          </w:p>
        </w:tc>
      </w:tr>
      <w:tr w:rsidR="003F2780">
        <w:tc>
          <w:tcPr>
            <w:tcW w:w="3182" w:type="dxa"/>
            <w:tcBorders>
              <w:top w:val="nil"/>
              <w:left w:val="nil"/>
              <w:bottom w:val="single" w:sz="4" w:space="0" w:color="000000"/>
              <w:right w:val="single" w:sz="4" w:space="0" w:color="000000"/>
            </w:tcBorders>
            <w:shd w:val="clear" w:color="auto" w:fill="E7E6E6"/>
          </w:tcPr>
          <w:p w:rsidR="003F2780" w:rsidRDefault="008F3083">
            <w:pPr>
              <w:spacing w:after="0" w:line="240" w:lineRule="auto"/>
              <w:ind w:left="160"/>
              <w:rPr>
                <w:color w:val="000000"/>
              </w:rPr>
            </w:pPr>
            <w:r>
              <w:t>1.b. Contact person(s)</w:t>
            </w:r>
          </w:p>
        </w:tc>
        <w:tc>
          <w:tcPr>
            <w:tcW w:w="5705" w:type="dxa"/>
            <w:tcBorders>
              <w:top w:val="nil"/>
              <w:left w:val="nil"/>
              <w:bottom w:val="single" w:sz="4" w:space="0" w:color="000000"/>
              <w:right w:val="single" w:sz="4" w:space="0" w:color="000000"/>
            </w:tcBorders>
            <w:shd w:val="clear" w:color="auto" w:fill="auto"/>
          </w:tcPr>
          <w:p w:rsidR="003F2780" w:rsidRPr="00F0033A" w:rsidRDefault="008F3083" w:rsidP="00F0033A">
            <w:pPr>
              <w:jc w:val="both"/>
              <w:rPr>
                <w:rFonts w:asciiTheme="majorHAnsi" w:eastAsia="Times New Roman" w:hAnsiTheme="majorHAnsi" w:cstheme="majorHAnsi"/>
              </w:rPr>
            </w:pPr>
            <w:r w:rsidRPr="00F0033A">
              <w:rPr>
                <w:rFonts w:asciiTheme="majorHAnsi" w:eastAsia="Times New Roman" w:hAnsiTheme="majorHAnsi" w:cstheme="majorHAnsi"/>
              </w:rPr>
              <w:t>José Domingos Madeira Cardoso</w:t>
            </w:r>
          </w:p>
        </w:tc>
      </w:tr>
      <w:tr w:rsidR="003F2780" w:rsidRPr="003F688B">
        <w:tc>
          <w:tcPr>
            <w:tcW w:w="3182" w:type="dxa"/>
            <w:tcBorders>
              <w:top w:val="nil"/>
              <w:left w:val="nil"/>
              <w:bottom w:val="single" w:sz="4" w:space="0" w:color="000000"/>
              <w:right w:val="single" w:sz="4" w:space="0" w:color="000000"/>
            </w:tcBorders>
            <w:shd w:val="clear" w:color="auto" w:fill="E7E6E6"/>
          </w:tcPr>
          <w:p w:rsidR="003F2780" w:rsidRDefault="008F3083">
            <w:pPr>
              <w:spacing w:after="0" w:line="240" w:lineRule="auto"/>
              <w:ind w:left="160"/>
              <w:rPr>
                <w:color w:val="000000"/>
              </w:rPr>
            </w:pPr>
            <w:r>
              <w:t>1.c. Contact organisation unit</w:t>
            </w:r>
          </w:p>
        </w:tc>
        <w:tc>
          <w:tcPr>
            <w:tcW w:w="5705" w:type="dxa"/>
            <w:tcBorders>
              <w:top w:val="nil"/>
              <w:left w:val="nil"/>
              <w:bottom w:val="single" w:sz="4" w:space="0" w:color="000000"/>
              <w:right w:val="single" w:sz="4" w:space="0" w:color="000000"/>
            </w:tcBorders>
            <w:shd w:val="clear" w:color="auto" w:fill="auto"/>
          </w:tcPr>
          <w:p w:rsidR="003F2780" w:rsidRPr="00F0033A" w:rsidRDefault="008F3083" w:rsidP="00F0033A">
            <w:pPr>
              <w:jc w:val="both"/>
              <w:rPr>
                <w:rFonts w:asciiTheme="majorHAnsi" w:eastAsia="Times New Roman" w:hAnsiTheme="majorHAnsi" w:cstheme="majorHAnsi"/>
                <w:lang w:val="pt-PT"/>
              </w:rPr>
            </w:pPr>
            <w:r w:rsidRPr="00F0033A">
              <w:rPr>
                <w:rFonts w:asciiTheme="majorHAnsi" w:eastAsia="Times New Roman" w:hAnsiTheme="majorHAnsi" w:cstheme="majorHAnsi"/>
                <w:lang w:val="pt-PT"/>
              </w:rPr>
              <w:t>Direcção Nacional de Politicas Económicas e Desenvolvimento</w:t>
            </w:r>
          </w:p>
        </w:tc>
      </w:tr>
      <w:tr w:rsidR="003F2780">
        <w:tc>
          <w:tcPr>
            <w:tcW w:w="3182" w:type="dxa"/>
            <w:tcBorders>
              <w:top w:val="nil"/>
              <w:left w:val="nil"/>
              <w:bottom w:val="single" w:sz="4" w:space="0" w:color="000000"/>
              <w:right w:val="single" w:sz="4" w:space="0" w:color="000000"/>
            </w:tcBorders>
            <w:shd w:val="clear" w:color="auto" w:fill="E7E6E6"/>
          </w:tcPr>
          <w:p w:rsidR="003F2780" w:rsidRDefault="008F3083">
            <w:pPr>
              <w:spacing w:after="0" w:line="240" w:lineRule="auto"/>
              <w:ind w:left="160"/>
              <w:rPr>
                <w:color w:val="000000"/>
              </w:rPr>
            </w:pPr>
            <w:r>
              <w:t>1.d. Contact person function</w:t>
            </w:r>
          </w:p>
        </w:tc>
        <w:tc>
          <w:tcPr>
            <w:tcW w:w="5705" w:type="dxa"/>
            <w:tcBorders>
              <w:top w:val="nil"/>
              <w:left w:val="nil"/>
              <w:bottom w:val="single" w:sz="4" w:space="0" w:color="000000"/>
              <w:right w:val="single" w:sz="4" w:space="0" w:color="000000"/>
            </w:tcBorders>
            <w:shd w:val="clear" w:color="auto" w:fill="auto"/>
          </w:tcPr>
          <w:p w:rsidR="003F2780" w:rsidRPr="00F0033A" w:rsidRDefault="008F3083" w:rsidP="00F0033A">
            <w:pPr>
              <w:jc w:val="both"/>
              <w:rPr>
                <w:rFonts w:asciiTheme="majorHAnsi" w:eastAsia="Times New Roman" w:hAnsiTheme="majorHAnsi" w:cstheme="majorHAnsi"/>
              </w:rPr>
            </w:pPr>
            <w:r w:rsidRPr="00F0033A">
              <w:rPr>
                <w:rFonts w:asciiTheme="majorHAnsi" w:eastAsia="Times New Roman" w:hAnsiTheme="majorHAnsi" w:cstheme="majorHAnsi"/>
              </w:rPr>
              <w:t>Técnico Superior N1</w:t>
            </w:r>
          </w:p>
        </w:tc>
      </w:tr>
      <w:tr w:rsidR="003F2780">
        <w:tc>
          <w:tcPr>
            <w:tcW w:w="3182" w:type="dxa"/>
            <w:tcBorders>
              <w:top w:val="nil"/>
              <w:left w:val="nil"/>
              <w:bottom w:val="single" w:sz="4" w:space="0" w:color="000000"/>
              <w:right w:val="single" w:sz="4" w:space="0" w:color="000000"/>
            </w:tcBorders>
            <w:shd w:val="clear" w:color="auto" w:fill="E7E6E6"/>
          </w:tcPr>
          <w:p w:rsidR="003F2780" w:rsidRDefault="008F3083">
            <w:pPr>
              <w:spacing w:after="0" w:line="240" w:lineRule="auto"/>
              <w:ind w:left="160"/>
              <w:rPr>
                <w:color w:val="000000"/>
              </w:rPr>
            </w:pPr>
            <w:r>
              <w:t>1.e. Contact phone</w:t>
            </w:r>
          </w:p>
        </w:tc>
        <w:tc>
          <w:tcPr>
            <w:tcW w:w="5705" w:type="dxa"/>
            <w:tcBorders>
              <w:top w:val="nil"/>
              <w:left w:val="nil"/>
              <w:bottom w:val="single" w:sz="4" w:space="0" w:color="000000"/>
              <w:right w:val="single" w:sz="4" w:space="0" w:color="000000"/>
            </w:tcBorders>
            <w:shd w:val="clear" w:color="auto" w:fill="auto"/>
          </w:tcPr>
          <w:p w:rsidR="003F2780" w:rsidRPr="00F0033A" w:rsidRDefault="008F3083" w:rsidP="00F0033A">
            <w:pPr>
              <w:jc w:val="both"/>
              <w:rPr>
                <w:rFonts w:asciiTheme="majorHAnsi" w:eastAsia="Times New Roman" w:hAnsiTheme="majorHAnsi" w:cstheme="majorHAnsi"/>
              </w:rPr>
            </w:pPr>
            <w:r w:rsidRPr="00F0033A">
              <w:rPr>
                <w:rFonts w:asciiTheme="majorHAnsi" w:eastAsia="Times New Roman" w:hAnsiTheme="majorHAnsi" w:cstheme="majorHAnsi"/>
              </w:rPr>
              <w:t>+258 84 229 5957</w:t>
            </w:r>
          </w:p>
        </w:tc>
      </w:tr>
      <w:tr w:rsidR="003F2780">
        <w:tc>
          <w:tcPr>
            <w:tcW w:w="3182" w:type="dxa"/>
            <w:tcBorders>
              <w:top w:val="nil"/>
              <w:left w:val="nil"/>
              <w:bottom w:val="single" w:sz="4" w:space="0" w:color="000000"/>
              <w:right w:val="single" w:sz="4" w:space="0" w:color="000000"/>
            </w:tcBorders>
            <w:shd w:val="clear" w:color="auto" w:fill="E7E6E6"/>
          </w:tcPr>
          <w:p w:rsidR="003F2780" w:rsidRDefault="008F3083">
            <w:pPr>
              <w:spacing w:after="0" w:line="240" w:lineRule="auto"/>
              <w:ind w:left="160"/>
              <w:rPr>
                <w:color w:val="000000"/>
              </w:rPr>
            </w:pPr>
            <w:r>
              <w:t>1.f. Contact mail</w:t>
            </w:r>
          </w:p>
        </w:tc>
        <w:tc>
          <w:tcPr>
            <w:tcW w:w="5705" w:type="dxa"/>
            <w:tcBorders>
              <w:top w:val="nil"/>
              <w:left w:val="nil"/>
              <w:bottom w:val="single" w:sz="4" w:space="0" w:color="000000"/>
              <w:right w:val="single" w:sz="4" w:space="0" w:color="000000"/>
            </w:tcBorders>
            <w:shd w:val="clear" w:color="auto" w:fill="auto"/>
          </w:tcPr>
          <w:p w:rsidR="003F2780" w:rsidRPr="00F0033A" w:rsidRDefault="003F2780" w:rsidP="00F0033A">
            <w:pPr>
              <w:jc w:val="both"/>
              <w:rPr>
                <w:rFonts w:asciiTheme="majorHAnsi" w:eastAsia="Times New Roman" w:hAnsiTheme="majorHAnsi" w:cstheme="majorHAnsi"/>
              </w:rPr>
            </w:pPr>
          </w:p>
        </w:tc>
      </w:tr>
      <w:tr w:rsidR="003F2780">
        <w:tc>
          <w:tcPr>
            <w:tcW w:w="3182" w:type="dxa"/>
            <w:tcBorders>
              <w:top w:val="nil"/>
              <w:left w:val="nil"/>
              <w:bottom w:val="single" w:sz="4" w:space="0" w:color="000000"/>
              <w:right w:val="single" w:sz="4" w:space="0" w:color="000000"/>
            </w:tcBorders>
            <w:shd w:val="clear" w:color="auto" w:fill="E7E6E6"/>
          </w:tcPr>
          <w:p w:rsidR="003F2780" w:rsidRDefault="008F3083">
            <w:pPr>
              <w:spacing w:after="0" w:line="240" w:lineRule="auto"/>
              <w:ind w:left="160"/>
              <w:rPr>
                <w:color w:val="000000"/>
              </w:rPr>
            </w:pPr>
            <w:r>
              <w:t>1.g. Contact email</w:t>
            </w:r>
          </w:p>
        </w:tc>
        <w:tc>
          <w:tcPr>
            <w:tcW w:w="5705" w:type="dxa"/>
            <w:tcBorders>
              <w:top w:val="nil"/>
              <w:left w:val="nil"/>
              <w:bottom w:val="single" w:sz="4" w:space="0" w:color="000000"/>
              <w:right w:val="single" w:sz="4" w:space="0" w:color="000000"/>
            </w:tcBorders>
            <w:shd w:val="clear" w:color="auto" w:fill="auto"/>
          </w:tcPr>
          <w:p w:rsidR="003F2780" w:rsidRPr="00F0033A" w:rsidRDefault="00C1530B" w:rsidP="00F0033A">
            <w:pPr>
              <w:jc w:val="both"/>
              <w:rPr>
                <w:rFonts w:asciiTheme="majorHAnsi" w:eastAsia="Times New Roman" w:hAnsiTheme="majorHAnsi" w:cstheme="majorHAnsi"/>
              </w:rPr>
            </w:pPr>
            <w:hyperlink r:id="rId8">
              <w:r w:rsidR="008F3083" w:rsidRPr="00F0033A">
                <w:rPr>
                  <w:rFonts w:asciiTheme="majorHAnsi" w:eastAsia="Times New Roman" w:hAnsiTheme="majorHAnsi" w:cstheme="majorHAnsi"/>
                  <w:color w:val="0563C1"/>
                  <w:u w:val="single"/>
                </w:rPr>
                <w:t>jsm.cardoso7@gmail.com</w:t>
              </w:r>
            </w:hyperlink>
          </w:p>
        </w:tc>
      </w:tr>
    </w:tbl>
    <w:p w:rsidR="003F2780" w:rsidRDefault="003F2780"/>
    <w:tbl>
      <w:tblPr>
        <w:tblStyle w:val="a1"/>
        <w:tblW w:w="8887" w:type="dxa"/>
        <w:tblLayout w:type="fixed"/>
        <w:tblLook w:val="0400" w:firstRow="0" w:lastRow="0" w:firstColumn="0" w:lastColumn="0" w:noHBand="0" w:noVBand="1"/>
      </w:tblPr>
      <w:tblGrid>
        <w:gridCol w:w="3116"/>
        <w:gridCol w:w="5771"/>
      </w:tblGrid>
      <w:tr w:rsidR="003F2780">
        <w:trPr>
          <w:trHeight w:val="396"/>
        </w:trPr>
        <w:tc>
          <w:tcPr>
            <w:tcW w:w="8887" w:type="dxa"/>
            <w:gridSpan w:val="2"/>
            <w:tcBorders>
              <w:top w:val="nil"/>
              <w:left w:val="nil"/>
              <w:bottom w:val="nil"/>
              <w:right w:val="nil"/>
            </w:tcBorders>
            <w:shd w:val="clear" w:color="auto" w:fill="auto"/>
            <w:vAlign w:val="bottom"/>
          </w:tcPr>
          <w:p w:rsidR="003F2780" w:rsidRDefault="008F3083">
            <w:pPr>
              <w:pStyle w:val="Heading2"/>
              <w:rPr>
                <w:sz w:val="32"/>
                <w:szCs w:val="32"/>
              </w:rPr>
            </w:pPr>
            <w:bookmarkStart w:id="4" w:name="_2et92p0" w:colFirst="0" w:colLast="0"/>
            <w:bookmarkEnd w:id="4"/>
            <w:r>
              <w:rPr>
                <w:sz w:val="32"/>
                <w:szCs w:val="32"/>
              </w:rPr>
              <w:t>2. Definition, concepts, and classifications</w:t>
            </w:r>
          </w:p>
        </w:tc>
      </w:tr>
      <w:tr w:rsidR="003F2780">
        <w:trPr>
          <w:trHeight w:val="300"/>
        </w:trPr>
        <w:tc>
          <w:tcPr>
            <w:tcW w:w="3116" w:type="dxa"/>
            <w:tcBorders>
              <w:top w:val="nil"/>
              <w:left w:val="nil"/>
              <w:bottom w:val="nil"/>
              <w:right w:val="nil"/>
            </w:tcBorders>
            <w:shd w:val="clear" w:color="auto" w:fill="D9E1F2"/>
            <w:vAlign w:val="bottom"/>
          </w:tcPr>
          <w:p w:rsidR="003F2780" w:rsidRDefault="008F3083">
            <w:pPr>
              <w:spacing w:after="0" w:line="240" w:lineRule="auto"/>
              <w:rPr>
                <w:color w:val="000000"/>
              </w:rPr>
            </w:pPr>
            <w:r>
              <w:rPr>
                <w:color w:val="000000"/>
              </w:rPr>
              <w:t>Concept name</w:t>
            </w:r>
          </w:p>
        </w:tc>
        <w:tc>
          <w:tcPr>
            <w:tcW w:w="5771" w:type="dxa"/>
            <w:tcBorders>
              <w:top w:val="nil"/>
              <w:left w:val="nil"/>
              <w:bottom w:val="nil"/>
              <w:right w:val="nil"/>
            </w:tcBorders>
            <w:shd w:val="clear" w:color="auto" w:fill="D9E1F2"/>
            <w:vAlign w:val="bottom"/>
          </w:tcPr>
          <w:p w:rsidR="003F2780" w:rsidRDefault="008F3083">
            <w:pPr>
              <w:spacing w:after="0" w:line="240" w:lineRule="auto"/>
              <w:rPr>
                <w:color w:val="000000"/>
              </w:rPr>
            </w:pPr>
            <w:r>
              <w:rPr>
                <w:i/>
                <w:color w:val="000000"/>
              </w:rPr>
              <w:t xml:space="preserve">Insert text, lists, tables, and images. </w:t>
            </w:r>
          </w:p>
        </w:tc>
      </w:tr>
      <w:tr w:rsidR="003F2780">
        <w:tc>
          <w:tcPr>
            <w:tcW w:w="3116" w:type="dxa"/>
            <w:tcBorders>
              <w:top w:val="single" w:sz="4" w:space="0" w:color="000000"/>
              <w:left w:val="nil"/>
              <w:bottom w:val="single" w:sz="4" w:space="0" w:color="000000"/>
              <w:right w:val="single" w:sz="4" w:space="0" w:color="000000"/>
            </w:tcBorders>
            <w:shd w:val="clear" w:color="auto" w:fill="E7E6E6"/>
          </w:tcPr>
          <w:p w:rsidR="003F2780" w:rsidRDefault="008F3083">
            <w:pPr>
              <w:spacing w:after="0" w:line="240" w:lineRule="auto"/>
            </w:pPr>
            <w:r>
              <w:t>2. Definition, concepts, and classifications</w:t>
            </w:r>
          </w:p>
        </w:tc>
        <w:tc>
          <w:tcPr>
            <w:tcW w:w="5771" w:type="dxa"/>
            <w:tcBorders>
              <w:top w:val="single" w:sz="4" w:space="0" w:color="000000"/>
              <w:left w:val="nil"/>
              <w:bottom w:val="single" w:sz="4" w:space="0" w:color="000000"/>
              <w:right w:val="single" w:sz="4" w:space="0" w:color="000000"/>
            </w:tcBorders>
            <w:shd w:val="clear" w:color="auto" w:fill="auto"/>
          </w:tcPr>
          <w:p w:rsidR="003F2780" w:rsidRDefault="003F2780"/>
        </w:tc>
      </w:tr>
      <w:tr w:rsidR="003F2780" w:rsidRPr="003F688B">
        <w:tc>
          <w:tcPr>
            <w:tcW w:w="3116" w:type="dxa"/>
            <w:tcBorders>
              <w:top w:val="single" w:sz="4" w:space="0" w:color="000000"/>
              <w:left w:val="nil"/>
              <w:bottom w:val="single" w:sz="4" w:space="0" w:color="000000"/>
              <w:right w:val="single" w:sz="4" w:space="0" w:color="000000"/>
            </w:tcBorders>
            <w:shd w:val="clear" w:color="auto" w:fill="E7E6E6"/>
          </w:tcPr>
          <w:p w:rsidR="003F2780" w:rsidRDefault="008F3083">
            <w:pPr>
              <w:spacing w:after="0" w:line="240" w:lineRule="auto"/>
              <w:ind w:left="160"/>
              <w:rPr>
                <w:color w:val="000000"/>
              </w:rPr>
            </w:pPr>
            <w:r>
              <w:t>2.a. Definition and concepts</w:t>
            </w:r>
          </w:p>
        </w:tc>
        <w:tc>
          <w:tcPr>
            <w:tcW w:w="5771" w:type="dxa"/>
            <w:tcBorders>
              <w:top w:val="single" w:sz="4" w:space="0" w:color="000000"/>
              <w:left w:val="nil"/>
              <w:bottom w:val="single" w:sz="4" w:space="0" w:color="000000"/>
              <w:right w:val="single" w:sz="4" w:space="0" w:color="000000"/>
            </w:tcBorders>
            <w:shd w:val="clear" w:color="auto" w:fill="auto"/>
          </w:tcPr>
          <w:p w:rsidR="0063713E" w:rsidRPr="00FC42E9" w:rsidRDefault="0063713E" w:rsidP="0063713E">
            <w:pPr>
              <w:jc w:val="both"/>
              <w:rPr>
                <w:rFonts w:asciiTheme="majorHAnsi" w:hAnsiTheme="majorHAnsi" w:cstheme="majorHAnsi"/>
                <w:lang w:val="pt-PT"/>
              </w:rPr>
            </w:pPr>
            <w:r w:rsidRPr="00FC42E9">
              <w:rPr>
                <w:rFonts w:asciiTheme="majorHAnsi" w:hAnsiTheme="majorHAnsi" w:cstheme="majorHAnsi"/>
                <w:lang w:val="pt-PT"/>
              </w:rPr>
              <w:t>A taxa de pobreza nacional é a percentagem da população total que vive abaixo da linha de pobreza nacional definida como MZN26,7.</w:t>
            </w:r>
          </w:p>
        </w:tc>
      </w:tr>
      <w:tr w:rsidR="003F2780">
        <w:tc>
          <w:tcPr>
            <w:tcW w:w="3116" w:type="dxa"/>
            <w:tcBorders>
              <w:top w:val="nil"/>
              <w:left w:val="nil"/>
              <w:bottom w:val="single" w:sz="4" w:space="0" w:color="000000"/>
              <w:right w:val="single" w:sz="4" w:space="0" w:color="000000"/>
            </w:tcBorders>
            <w:shd w:val="clear" w:color="auto" w:fill="E7E6E6"/>
          </w:tcPr>
          <w:p w:rsidR="003F2780" w:rsidRDefault="008F3083">
            <w:pPr>
              <w:spacing w:after="0" w:line="240" w:lineRule="auto"/>
              <w:ind w:left="160"/>
              <w:rPr>
                <w:color w:val="000000"/>
              </w:rPr>
            </w:pPr>
            <w:r>
              <w:t>2.b. Unit of measure</w:t>
            </w:r>
          </w:p>
        </w:tc>
        <w:tc>
          <w:tcPr>
            <w:tcW w:w="5771" w:type="dxa"/>
            <w:tcBorders>
              <w:top w:val="nil"/>
              <w:left w:val="nil"/>
              <w:bottom w:val="single" w:sz="4" w:space="0" w:color="000000"/>
              <w:right w:val="single" w:sz="4" w:space="0" w:color="000000"/>
            </w:tcBorders>
            <w:shd w:val="clear" w:color="auto" w:fill="auto"/>
          </w:tcPr>
          <w:p w:rsidR="003F2780" w:rsidRPr="00FC42E9" w:rsidRDefault="008F3083">
            <w:pPr>
              <w:rPr>
                <w:rFonts w:asciiTheme="majorHAnsi" w:hAnsiTheme="majorHAnsi" w:cstheme="majorHAnsi"/>
                <w:lang w:val="pt-PT"/>
              </w:rPr>
            </w:pPr>
            <w:r w:rsidRPr="00FC42E9">
              <w:rPr>
                <w:rFonts w:asciiTheme="majorHAnsi" w:hAnsiTheme="majorHAnsi" w:cstheme="majorHAnsi"/>
                <w:lang w:val="pt-PT"/>
              </w:rPr>
              <w:t>Percentagem</w:t>
            </w:r>
          </w:p>
        </w:tc>
      </w:tr>
      <w:tr w:rsidR="003F2780">
        <w:tc>
          <w:tcPr>
            <w:tcW w:w="3116" w:type="dxa"/>
            <w:tcBorders>
              <w:top w:val="nil"/>
              <w:left w:val="nil"/>
              <w:bottom w:val="single" w:sz="4" w:space="0" w:color="000000"/>
              <w:right w:val="single" w:sz="4" w:space="0" w:color="000000"/>
            </w:tcBorders>
            <w:shd w:val="clear" w:color="auto" w:fill="E7E6E6"/>
          </w:tcPr>
          <w:p w:rsidR="003F2780" w:rsidRDefault="008F3083">
            <w:pPr>
              <w:spacing w:after="0" w:line="240" w:lineRule="auto"/>
              <w:ind w:left="160"/>
              <w:rPr>
                <w:color w:val="000000"/>
              </w:rPr>
            </w:pPr>
            <w:r>
              <w:t>2.c. Classifications</w:t>
            </w:r>
          </w:p>
        </w:tc>
        <w:tc>
          <w:tcPr>
            <w:tcW w:w="5771" w:type="dxa"/>
            <w:tcBorders>
              <w:top w:val="nil"/>
              <w:left w:val="nil"/>
              <w:bottom w:val="single" w:sz="4" w:space="0" w:color="000000"/>
              <w:right w:val="single" w:sz="4" w:space="0" w:color="000000"/>
            </w:tcBorders>
            <w:shd w:val="clear" w:color="auto" w:fill="auto"/>
          </w:tcPr>
          <w:p w:rsidR="003F2780" w:rsidRPr="0037733C" w:rsidRDefault="008F3083">
            <w:pPr>
              <w:rPr>
                <w:lang w:val="pt-PT"/>
              </w:rPr>
            </w:pPr>
            <w:r w:rsidRPr="0037733C">
              <w:rPr>
                <w:lang w:val="pt-PT"/>
              </w:rPr>
              <w:t>Não utilizamos classificador algum</w:t>
            </w:r>
          </w:p>
        </w:tc>
      </w:tr>
    </w:tbl>
    <w:p w:rsidR="003F2780" w:rsidRDefault="003F2780"/>
    <w:tbl>
      <w:tblPr>
        <w:tblStyle w:val="a2"/>
        <w:tblW w:w="5000" w:type="pct"/>
        <w:tblLook w:val="0400" w:firstRow="0" w:lastRow="0" w:firstColumn="0" w:lastColumn="0" w:noHBand="0" w:noVBand="1"/>
      </w:tblPr>
      <w:tblGrid>
        <w:gridCol w:w="3283"/>
        <w:gridCol w:w="6077"/>
      </w:tblGrid>
      <w:tr w:rsidR="003F2780" w:rsidTr="00555C96">
        <w:trPr>
          <w:trHeight w:val="470"/>
        </w:trPr>
        <w:tc>
          <w:tcPr>
            <w:tcW w:w="5000" w:type="pct"/>
            <w:gridSpan w:val="2"/>
            <w:tcBorders>
              <w:top w:val="nil"/>
              <w:left w:val="nil"/>
              <w:bottom w:val="nil"/>
              <w:right w:val="nil"/>
            </w:tcBorders>
            <w:shd w:val="clear" w:color="auto" w:fill="auto"/>
            <w:vAlign w:val="bottom"/>
          </w:tcPr>
          <w:p w:rsidR="003F2780" w:rsidRDefault="008F3083">
            <w:pPr>
              <w:pStyle w:val="Heading2"/>
              <w:rPr>
                <w:sz w:val="32"/>
                <w:szCs w:val="32"/>
              </w:rPr>
            </w:pPr>
            <w:bookmarkStart w:id="5" w:name="_tyjcwt" w:colFirst="0" w:colLast="0"/>
            <w:bookmarkEnd w:id="5"/>
            <w:r>
              <w:rPr>
                <w:sz w:val="32"/>
                <w:szCs w:val="32"/>
              </w:rPr>
              <w:t>3. Data source type and data collection method</w:t>
            </w:r>
          </w:p>
        </w:tc>
      </w:tr>
      <w:tr w:rsidR="003F2780" w:rsidTr="00555C96">
        <w:trPr>
          <w:trHeight w:val="300"/>
        </w:trPr>
        <w:tc>
          <w:tcPr>
            <w:tcW w:w="1754" w:type="pct"/>
            <w:tcBorders>
              <w:top w:val="nil"/>
              <w:left w:val="nil"/>
              <w:bottom w:val="nil"/>
              <w:right w:val="nil"/>
            </w:tcBorders>
            <w:shd w:val="clear" w:color="auto" w:fill="D9E1F2"/>
            <w:vAlign w:val="bottom"/>
          </w:tcPr>
          <w:p w:rsidR="003F2780" w:rsidRDefault="008F3083">
            <w:pPr>
              <w:spacing w:after="0" w:line="240" w:lineRule="auto"/>
              <w:rPr>
                <w:color w:val="000000"/>
              </w:rPr>
            </w:pPr>
            <w:r>
              <w:rPr>
                <w:color w:val="000000"/>
              </w:rPr>
              <w:t>Concept name</w:t>
            </w:r>
          </w:p>
        </w:tc>
        <w:tc>
          <w:tcPr>
            <w:tcW w:w="3246" w:type="pct"/>
            <w:tcBorders>
              <w:top w:val="nil"/>
              <w:left w:val="nil"/>
              <w:bottom w:val="nil"/>
              <w:right w:val="nil"/>
            </w:tcBorders>
            <w:shd w:val="clear" w:color="auto" w:fill="D9E1F2"/>
            <w:vAlign w:val="bottom"/>
          </w:tcPr>
          <w:p w:rsidR="003F2780" w:rsidRDefault="008F3083">
            <w:pPr>
              <w:spacing w:after="0" w:line="240" w:lineRule="auto"/>
              <w:rPr>
                <w:color w:val="000000"/>
              </w:rPr>
            </w:pPr>
            <w:r>
              <w:rPr>
                <w:i/>
                <w:color w:val="000000"/>
              </w:rPr>
              <w:t xml:space="preserve">Insert text, lists, tables, and images. </w:t>
            </w:r>
          </w:p>
        </w:tc>
      </w:tr>
      <w:tr w:rsidR="003F2780" w:rsidTr="00555C96">
        <w:trPr>
          <w:trHeight w:val="215"/>
        </w:trPr>
        <w:tc>
          <w:tcPr>
            <w:tcW w:w="1754" w:type="pct"/>
            <w:tcBorders>
              <w:top w:val="single" w:sz="4" w:space="0" w:color="000000"/>
              <w:left w:val="nil"/>
              <w:bottom w:val="single" w:sz="4" w:space="0" w:color="000000"/>
              <w:right w:val="single" w:sz="4" w:space="0" w:color="000000"/>
            </w:tcBorders>
            <w:shd w:val="clear" w:color="auto" w:fill="E7E6E6"/>
          </w:tcPr>
          <w:p w:rsidR="003F2780" w:rsidRDefault="008F3083">
            <w:pPr>
              <w:spacing w:after="0" w:line="240" w:lineRule="auto"/>
            </w:pPr>
            <w:r>
              <w:t>3. Data source type and collection method</w:t>
            </w:r>
          </w:p>
        </w:tc>
        <w:tc>
          <w:tcPr>
            <w:tcW w:w="3246" w:type="pct"/>
            <w:tcBorders>
              <w:top w:val="single" w:sz="4" w:space="0" w:color="000000"/>
              <w:left w:val="nil"/>
              <w:bottom w:val="single" w:sz="4" w:space="0" w:color="000000"/>
              <w:right w:val="single" w:sz="4" w:space="0" w:color="000000"/>
            </w:tcBorders>
            <w:shd w:val="clear" w:color="auto" w:fill="auto"/>
          </w:tcPr>
          <w:p w:rsidR="003F2780" w:rsidRDefault="003F2780"/>
        </w:tc>
      </w:tr>
      <w:tr w:rsidR="003F2780" w:rsidRPr="003F688B" w:rsidTr="00555C96">
        <w:trPr>
          <w:trHeight w:val="215"/>
        </w:trPr>
        <w:tc>
          <w:tcPr>
            <w:tcW w:w="1754" w:type="pct"/>
            <w:tcBorders>
              <w:top w:val="single" w:sz="4" w:space="0" w:color="000000"/>
              <w:left w:val="nil"/>
              <w:bottom w:val="single" w:sz="4" w:space="0" w:color="000000"/>
              <w:right w:val="single" w:sz="4" w:space="0" w:color="000000"/>
            </w:tcBorders>
            <w:shd w:val="clear" w:color="auto" w:fill="E7E6E6"/>
          </w:tcPr>
          <w:p w:rsidR="003F2780" w:rsidRDefault="008F3083">
            <w:pPr>
              <w:spacing w:after="0" w:line="240" w:lineRule="auto"/>
              <w:ind w:left="160"/>
              <w:rPr>
                <w:color w:val="000000"/>
              </w:rPr>
            </w:pPr>
            <w:r>
              <w:t>3.a. Data sources</w:t>
            </w:r>
          </w:p>
        </w:tc>
        <w:tc>
          <w:tcPr>
            <w:tcW w:w="3246" w:type="pct"/>
            <w:tcBorders>
              <w:top w:val="single" w:sz="4" w:space="0" w:color="000000"/>
              <w:left w:val="nil"/>
              <w:bottom w:val="single" w:sz="4" w:space="0" w:color="000000"/>
              <w:right w:val="single" w:sz="4" w:space="0" w:color="000000"/>
            </w:tcBorders>
            <w:shd w:val="clear" w:color="auto" w:fill="auto"/>
          </w:tcPr>
          <w:p w:rsidR="003F2780" w:rsidRPr="00555C96" w:rsidRDefault="00555C96">
            <w:pPr>
              <w:jc w:val="both"/>
              <w:rPr>
                <w:rFonts w:ascii="Times New Roman" w:eastAsia="Times New Roman" w:hAnsi="Times New Roman" w:cs="Times New Roman"/>
                <w:sz w:val="24"/>
                <w:szCs w:val="24"/>
                <w:lang w:val="pt-PT"/>
              </w:rPr>
            </w:pPr>
            <w:r w:rsidRPr="00560F6F">
              <w:rPr>
                <w:lang w:val="pt-PT"/>
              </w:rPr>
              <w:t>M</w:t>
            </w:r>
            <w:r>
              <w:rPr>
                <w:lang w:val="pt-PT"/>
              </w:rPr>
              <w:t xml:space="preserve">inistério da </w:t>
            </w:r>
            <w:r w:rsidRPr="00560F6F">
              <w:rPr>
                <w:lang w:val="pt-PT"/>
              </w:rPr>
              <w:t>E</w:t>
            </w:r>
            <w:r>
              <w:rPr>
                <w:lang w:val="pt-PT"/>
              </w:rPr>
              <w:t xml:space="preserve">conomia e </w:t>
            </w:r>
            <w:r w:rsidRPr="00560F6F">
              <w:rPr>
                <w:lang w:val="pt-PT"/>
              </w:rPr>
              <w:t>F</w:t>
            </w:r>
            <w:r>
              <w:rPr>
                <w:lang w:val="pt-PT"/>
              </w:rPr>
              <w:t>inanças</w:t>
            </w:r>
            <w:r w:rsidRPr="00560F6F">
              <w:rPr>
                <w:lang w:val="pt-PT"/>
              </w:rPr>
              <w:t xml:space="preserve">, </w:t>
            </w:r>
            <w:r w:rsidR="0035134E" w:rsidRPr="00560F6F">
              <w:rPr>
                <w:lang w:val="pt-PT"/>
              </w:rPr>
              <w:t>calculado com</w:t>
            </w:r>
            <w:r w:rsidRPr="00560F6F">
              <w:rPr>
                <w:lang w:val="pt-PT"/>
              </w:rPr>
              <w:t xml:space="preserve"> base nos resultados do IOF 2014/2015.</w:t>
            </w:r>
          </w:p>
        </w:tc>
      </w:tr>
      <w:tr w:rsidR="003F2780" w:rsidRPr="003F688B" w:rsidTr="00555C96">
        <w:tc>
          <w:tcPr>
            <w:tcW w:w="1754" w:type="pct"/>
            <w:tcBorders>
              <w:top w:val="nil"/>
              <w:left w:val="nil"/>
              <w:bottom w:val="single" w:sz="4" w:space="0" w:color="000000"/>
              <w:right w:val="single" w:sz="4" w:space="0" w:color="000000"/>
            </w:tcBorders>
            <w:shd w:val="clear" w:color="auto" w:fill="E7E6E6"/>
          </w:tcPr>
          <w:p w:rsidR="003F2780" w:rsidRDefault="008F3083">
            <w:pPr>
              <w:spacing w:after="0" w:line="240" w:lineRule="auto"/>
              <w:ind w:left="160"/>
              <w:rPr>
                <w:color w:val="000000"/>
              </w:rPr>
            </w:pPr>
            <w:r>
              <w:t>3.b. Data collection method</w:t>
            </w:r>
          </w:p>
        </w:tc>
        <w:tc>
          <w:tcPr>
            <w:tcW w:w="3246" w:type="pct"/>
            <w:tcBorders>
              <w:top w:val="nil"/>
              <w:left w:val="nil"/>
              <w:bottom w:val="single" w:sz="4" w:space="0" w:color="000000"/>
              <w:right w:val="single" w:sz="4" w:space="0" w:color="000000"/>
            </w:tcBorders>
            <w:shd w:val="clear" w:color="auto" w:fill="auto"/>
          </w:tcPr>
          <w:p w:rsidR="003F2780" w:rsidRPr="0035134E" w:rsidRDefault="008F3083">
            <w:pPr>
              <w:jc w:val="both"/>
              <w:rPr>
                <w:rFonts w:asciiTheme="majorHAnsi" w:eastAsia="Times New Roman" w:hAnsiTheme="majorHAnsi" w:cstheme="majorHAnsi"/>
                <w:lang w:val="pt-PT"/>
              </w:rPr>
            </w:pPr>
            <w:r w:rsidRPr="0035134E">
              <w:rPr>
                <w:rFonts w:asciiTheme="majorHAnsi" w:eastAsia="Times New Roman" w:hAnsiTheme="majorHAnsi" w:cstheme="majorHAnsi"/>
                <w:lang w:val="pt-PT"/>
              </w:rPr>
              <w:t>O IOF 2014/15, foi um inquérito painel, que decorreu de 07 de Agosto de 2014 a 15 de Agosto de 2015. Foram entrevistados 11.628 agregados familiares, sendo 6.380 das áreas urbanas e os restantes 5.248 das áreas rurais. Cada agregado familiar seria inquerido 4 vezes durante o ciclo completo (1 ciclo = 12 meses) e durante 4 semanas do mês. Taxa de cobertura 98.7%, 89.1% e 91.3% para o Iº, IIº e IVº trimestre, respectivamente. Por diversas razões não tivemos o IIIº trimestre.</w:t>
            </w:r>
          </w:p>
          <w:p w:rsidR="003F2780" w:rsidRPr="00FA3E21" w:rsidRDefault="00C1530B">
            <w:pPr>
              <w:jc w:val="both"/>
              <w:rPr>
                <w:rFonts w:ascii="Times New Roman" w:eastAsia="Times New Roman" w:hAnsi="Times New Roman" w:cs="Times New Roman"/>
                <w:sz w:val="24"/>
                <w:szCs w:val="24"/>
                <w:lang w:val="pt-PT"/>
              </w:rPr>
            </w:pPr>
            <w:hyperlink r:id="rId9">
              <w:r w:rsidR="008F3083" w:rsidRPr="00FA3E21">
                <w:rPr>
                  <w:rFonts w:ascii="Times New Roman" w:eastAsia="Times New Roman" w:hAnsi="Times New Roman" w:cs="Times New Roman"/>
                  <w:color w:val="0563C1"/>
                  <w:sz w:val="24"/>
                  <w:szCs w:val="24"/>
                  <w:u w:val="single"/>
                  <w:lang w:val="pt-PT"/>
                </w:rPr>
                <w:t>http://www.ine.gov.mz/operacoes-estatisticas/inqueritos/inquerito-sobre-orcamento-familiar/relatorio-final-do-inquerito-ao-orcamento-familiar-iof-2014-15</w:t>
              </w:r>
            </w:hyperlink>
          </w:p>
        </w:tc>
      </w:tr>
      <w:tr w:rsidR="003F2780" w:rsidTr="00555C96">
        <w:tc>
          <w:tcPr>
            <w:tcW w:w="1754" w:type="pct"/>
            <w:tcBorders>
              <w:top w:val="nil"/>
              <w:left w:val="nil"/>
              <w:bottom w:val="single" w:sz="4" w:space="0" w:color="000000"/>
              <w:right w:val="single" w:sz="4" w:space="0" w:color="000000"/>
            </w:tcBorders>
            <w:shd w:val="clear" w:color="auto" w:fill="E7E6E6"/>
          </w:tcPr>
          <w:p w:rsidR="003F2780" w:rsidRDefault="008F3083">
            <w:pPr>
              <w:spacing w:after="0" w:line="240" w:lineRule="auto"/>
              <w:ind w:left="160"/>
              <w:rPr>
                <w:color w:val="000000"/>
              </w:rPr>
            </w:pPr>
            <w:r>
              <w:t>3.c. Data collection calendar</w:t>
            </w:r>
          </w:p>
        </w:tc>
        <w:tc>
          <w:tcPr>
            <w:tcW w:w="3246" w:type="pct"/>
            <w:tcBorders>
              <w:top w:val="nil"/>
              <w:left w:val="nil"/>
              <w:bottom w:val="single" w:sz="4" w:space="0" w:color="000000"/>
              <w:right w:val="single" w:sz="4" w:space="0" w:color="000000"/>
            </w:tcBorders>
            <w:shd w:val="clear" w:color="auto" w:fill="auto"/>
          </w:tcPr>
          <w:p w:rsidR="003F2780" w:rsidRPr="001324D4" w:rsidRDefault="00EC304C" w:rsidP="00EC304C">
            <w:pPr>
              <w:jc w:val="both"/>
              <w:rPr>
                <w:rFonts w:asciiTheme="majorHAnsi" w:eastAsia="Times New Roman" w:hAnsiTheme="majorHAnsi" w:cstheme="majorHAnsi"/>
                <w:lang w:val="pt-PT"/>
              </w:rPr>
            </w:pPr>
            <w:r w:rsidRPr="001324D4">
              <w:rPr>
                <w:rFonts w:asciiTheme="majorHAnsi" w:eastAsia="Times New Roman" w:hAnsiTheme="majorHAnsi" w:cstheme="majorHAnsi"/>
                <w:lang w:val="pt-PT"/>
              </w:rPr>
              <w:t xml:space="preserve">Até primeiro semestre de </w:t>
            </w:r>
            <w:r w:rsidR="00AA66A2" w:rsidRPr="001324D4">
              <w:rPr>
                <w:rFonts w:asciiTheme="majorHAnsi" w:eastAsia="Times New Roman" w:hAnsiTheme="majorHAnsi" w:cstheme="majorHAnsi"/>
                <w:lang w:val="pt-PT"/>
              </w:rPr>
              <w:t>2021</w:t>
            </w:r>
          </w:p>
        </w:tc>
      </w:tr>
      <w:tr w:rsidR="003F2780" w:rsidTr="00555C96">
        <w:tc>
          <w:tcPr>
            <w:tcW w:w="1754" w:type="pct"/>
            <w:tcBorders>
              <w:top w:val="nil"/>
              <w:left w:val="nil"/>
              <w:bottom w:val="single" w:sz="4" w:space="0" w:color="000000"/>
              <w:right w:val="single" w:sz="4" w:space="0" w:color="000000"/>
            </w:tcBorders>
            <w:shd w:val="clear" w:color="auto" w:fill="E7E6E6"/>
          </w:tcPr>
          <w:p w:rsidR="003F2780" w:rsidRDefault="008F3083">
            <w:pPr>
              <w:spacing w:after="0" w:line="240" w:lineRule="auto"/>
              <w:ind w:left="160"/>
              <w:rPr>
                <w:color w:val="000000"/>
              </w:rPr>
            </w:pPr>
            <w:r>
              <w:t>3.d. Data release calendar</w:t>
            </w:r>
          </w:p>
        </w:tc>
        <w:tc>
          <w:tcPr>
            <w:tcW w:w="3246" w:type="pct"/>
            <w:tcBorders>
              <w:top w:val="nil"/>
              <w:left w:val="nil"/>
              <w:bottom w:val="single" w:sz="4" w:space="0" w:color="000000"/>
              <w:right w:val="single" w:sz="4" w:space="0" w:color="000000"/>
            </w:tcBorders>
            <w:shd w:val="clear" w:color="auto" w:fill="auto"/>
          </w:tcPr>
          <w:p w:rsidR="003F2780" w:rsidRPr="001324D4" w:rsidRDefault="00EC304C" w:rsidP="00EC304C">
            <w:pPr>
              <w:jc w:val="both"/>
              <w:rPr>
                <w:rFonts w:asciiTheme="majorHAnsi" w:eastAsia="Times New Roman" w:hAnsiTheme="majorHAnsi" w:cstheme="majorHAnsi"/>
                <w:lang w:val="pt-PT"/>
              </w:rPr>
            </w:pPr>
            <w:r w:rsidRPr="001324D4">
              <w:rPr>
                <w:rFonts w:asciiTheme="majorHAnsi" w:eastAsia="Times New Roman" w:hAnsiTheme="majorHAnsi" w:cstheme="majorHAnsi"/>
                <w:lang w:val="pt-PT"/>
              </w:rPr>
              <w:t xml:space="preserve">Até Dezembro de </w:t>
            </w:r>
            <w:r w:rsidR="008F3083" w:rsidRPr="001324D4">
              <w:rPr>
                <w:rFonts w:asciiTheme="majorHAnsi" w:eastAsia="Times New Roman" w:hAnsiTheme="majorHAnsi" w:cstheme="majorHAnsi"/>
                <w:lang w:val="pt-PT"/>
              </w:rPr>
              <w:t xml:space="preserve">2021 </w:t>
            </w:r>
          </w:p>
        </w:tc>
      </w:tr>
      <w:tr w:rsidR="003F2780" w:rsidRPr="003F688B" w:rsidTr="00555C96">
        <w:tc>
          <w:tcPr>
            <w:tcW w:w="1754" w:type="pct"/>
            <w:tcBorders>
              <w:top w:val="nil"/>
              <w:left w:val="nil"/>
              <w:bottom w:val="single" w:sz="4" w:space="0" w:color="000000"/>
              <w:right w:val="single" w:sz="4" w:space="0" w:color="000000"/>
            </w:tcBorders>
            <w:shd w:val="clear" w:color="auto" w:fill="E7E6E6"/>
          </w:tcPr>
          <w:p w:rsidR="003F2780" w:rsidRDefault="008F3083">
            <w:pPr>
              <w:spacing w:after="0" w:line="240" w:lineRule="auto"/>
              <w:ind w:left="160"/>
              <w:rPr>
                <w:color w:val="000000"/>
              </w:rPr>
            </w:pPr>
            <w:r>
              <w:t>3.e. Data providers</w:t>
            </w:r>
          </w:p>
        </w:tc>
        <w:tc>
          <w:tcPr>
            <w:tcW w:w="3246" w:type="pct"/>
            <w:tcBorders>
              <w:top w:val="nil"/>
              <w:left w:val="nil"/>
              <w:bottom w:val="single" w:sz="4" w:space="0" w:color="000000"/>
              <w:right w:val="single" w:sz="4" w:space="0" w:color="000000"/>
            </w:tcBorders>
            <w:shd w:val="clear" w:color="auto" w:fill="auto"/>
          </w:tcPr>
          <w:p w:rsidR="003F2780" w:rsidRPr="001324D4" w:rsidRDefault="008F3083">
            <w:pPr>
              <w:jc w:val="both"/>
              <w:rPr>
                <w:rFonts w:asciiTheme="majorHAnsi" w:eastAsia="Times New Roman" w:hAnsiTheme="majorHAnsi" w:cstheme="majorHAnsi"/>
                <w:lang w:val="pt-PT"/>
              </w:rPr>
            </w:pPr>
            <w:r w:rsidRPr="001324D4">
              <w:rPr>
                <w:rFonts w:asciiTheme="majorHAnsi" w:eastAsia="Times New Roman" w:hAnsiTheme="majorHAnsi" w:cstheme="majorHAnsi"/>
                <w:lang w:val="pt-PT"/>
              </w:rPr>
              <w:t>In</w:t>
            </w:r>
            <w:r w:rsidR="001324D4" w:rsidRPr="001324D4">
              <w:rPr>
                <w:rFonts w:asciiTheme="majorHAnsi" w:eastAsia="Times New Roman" w:hAnsiTheme="majorHAnsi" w:cstheme="majorHAnsi"/>
                <w:lang w:val="pt-PT"/>
              </w:rPr>
              <w:t>stituto Nacional de Estatística</w:t>
            </w:r>
            <w:r w:rsidRPr="001324D4">
              <w:rPr>
                <w:rFonts w:asciiTheme="majorHAnsi" w:eastAsia="Times New Roman" w:hAnsiTheme="majorHAnsi" w:cstheme="majorHAnsi"/>
                <w:lang w:val="pt-PT"/>
              </w:rPr>
              <w:t xml:space="preserve"> (INE)</w:t>
            </w:r>
          </w:p>
        </w:tc>
      </w:tr>
      <w:tr w:rsidR="003F2780" w:rsidRPr="003F688B" w:rsidTr="00555C96">
        <w:tc>
          <w:tcPr>
            <w:tcW w:w="1754" w:type="pct"/>
            <w:tcBorders>
              <w:top w:val="nil"/>
              <w:left w:val="nil"/>
              <w:bottom w:val="single" w:sz="4" w:space="0" w:color="000000"/>
              <w:right w:val="single" w:sz="4" w:space="0" w:color="000000"/>
            </w:tcBorders>
            <w:shd w:val="clear" w:color="auto" w:fill="E7E6E6"/>
          </w:tcPr>
          <w:p w:rsidR="003F2780" w:rsidRDefault="008F3083">
            <w:pPr>
              <w:spacing w:after="0" w:line="240" w:lineRule="auto"/>
              <w:ind w:left="160"/>
              <w:rPr>
                <w:color w:val="000000"/>
              </w:rPr>
            </w:pPr>
            <w:r>
              <w:t>3.f. Data compilers</w:t>
            </w:r>
          </w:p>
        </w:tc>
        <w:tc>
          <w:tcPr>
            <w:tcW w:w="3246" w:type="pct"/>
            <w:tcBorders>
              <w:top w:val="nil"/>
              <w:left w:val="nil"/>
              <w:bottom w:val="single" w:sz="4" w:space="0" w:color="000000"/>
              <w:right w:val="single" w:sz="4" w:space="0" w:color="000000"/>
            </w:tcBorders>
            <w:shd w:val="clear" w:color="auto" w:fill="auto"/>
          </w:tcPr>
          <w:p w:rsidR="003F2780" w:rsidRPr="001324D4" w:rsidRDefault="008F3083">
            <w:pPr>
              <w:jc w:val="both"/>
              <w:rPr>
                <w:rFonts w:asciiTheme="majorHAnsi" w:eastAsia="Times New Roman" w:hAnsiTheme="majorHAnsi" w:cstheme="majorHAnsi"/>
                <w:lang w:val="pt-PT"/>
              </w:rPr>
            </w:pPr>
            <w:r w:rsidRPr="001324D4">
              <w:rPr>
                <w:rFonts w:asciiTheme="majorHAnsi" w:eastAsia="Times New Roman" w:hAnsiTheme="majorHAnsi" w:cstheme="majorHAnsi"/>
                <w:lang w:val="pt-PT"/>
              </w:rPr>
              <w:t>Ministério da Economia e Finanças (MEF)</w:t>
            </w:r>
          </w:p>
        </w:tc>
      </w:tr>
      <w:tr w:rsidR="003F2780" w:rsidRPr="003F688B" w:rsidTr="00555C96">
        <w:tc>
          <w:tcPr>
            <w:tcW w:w="1754" w:type="pct"/>
            <w:tcBorders>
              <w:top w:val="nil"/>
              <w:left w:val="nil"/>
              <w:bottom w:val="single" w:sz="4" w:space="0" w:color="000000"/>
              <w:right w:val="single" w:sz="4" w:space="0" w:color="000000"/>
            </w:tcBorders>
            <w:shd w:val="clear" w:color="auto" w:fill="E7E6E6"/>
          </w:tcPr>
          <w:p w:rsidR="003F2780" w:rsidRDefault="008F3083">
            <w:pPr>
              <w:spacing w:after="0" w:line="240" w:lineRule="auto"/>
              <w:ind w:left="160"/>
              <w:rPr>
                <w:color w:val="000000"/>
              </w:rPr>
            </w:pPr>
            <w:r>
              <w:t>3.g. Institutional mandate</w:t>
            </w:r>
          </w:p>
        </w:tc>
        <w:tc>
          <w:tcPr>
            <w:tcW w:w="3246" w:type="pct"/>
            <w:tcBorders>
              <w:top w:val="nil"/>
              <w:left w:val="nil"/>
              <w:bottom w:val="single" w:sz="4" w:space="0" w:color="000000"/>
              <w:right w:val="single" w:sz="4" w:space="0" w:color="000000"/>
            </w:tcBorders>
            <w:shd w:val="clear" w:color="auto" w:fill="auto"/>
          </w:tcPr>
          <w:p w:rsidR="003F2780" w:rsidRPr="001324D4" w:rsidRDefault="008F3083">
            <w:pPr>
              <w:jc w:val="both"/>
              <w:rPr>
                <w:rFonts w:asciiTheme="majorHAnsi" w:eastAsia="Times New Roman" w:hAnsiTheme="majorHAnsi" w:cstheme="majorHAnsi"/>
                <w:lang w:val="pt-PT"/>
              </w:rPr>
            </w:pPr>
            <w:r w:rsidRPr="001324D4">
              <w:rPr>
                <w:rFonts w:asciiTheme="majorHAnsi" w:eastAsia="Times New Roman" w:hAnsiTheme="majorHAnsi" w:cstheme="majorHAnsi"/>
                <w:lang w:val="pt-PT"/>
              </w:rPr>
              <w:t xml:space="preserve">Pelo despacho conjunto número </w:t>
            </w:r>
            <w:r w:rsidRPr="001324D4">
              <w:rPr>
                <w:rFonts w:asciiTheme="majorHAnsi" w:eastAsia="Times New Roman" w:hAnsiTheme="majorHAnsi" w:cstheme="majorHAnsi"/>
                <w:b/>
                <w:lang w:val="pt-PT"/>
              </w:rPr>
              <w:t>112/DEAE-MF/2012 de 8 de Junho</w:t>
            </w:r>
            <w:r w:rsidRPr="001324D4">
              <w:rPr>
                <w:rFonts w:asciiTheme="majorHAnsi" w:eastAsia="Times New Roman" w:hAnsiTheme="majorHAnsi" w:cstheme="majorHAnsi"/>
                <w:lang w:val="pt-PT"/>
              </w:rPr>
              <w:t>, o Instituto Nacional de Estatística delegou competências de notação e apuramento de dados estatísticos de actos administrativos e inquéritos ao Ministério das Finanças através da Direcção de Estudos e Análise Económica.</w:t>
            </w:r>
          </w:p>
        </w:tc>
      </w:tr>
    </w:tbl>
    <w:p w:rsidR="003F2780" w:rsidRPr="00FA3E21" w:rsidRDefault="003F2780">
      <w:pPr>
        <w:rPr>
          <w:lang w:val="pt-PT"/>
        </w:rPr>
      </w:pPr>
    </w:p>
    <w:tbl>
      <w:tblPr>
        <w:tblStyle w:val="a3"/>
        <w:tblW w:w="5000" w:type="pct"/>
        <w:tblLayout w:type="fixed"/>
        <w:tblLook w:val="0400" w:firstRow="0" w:lastRow="0" w:firstColumn="0" w:lastColumn="0" w:noHBand="0" w:noVBand="1"/>
      </w:tblPr>
      <w:tblGrid>
        <w:gridCol w:w="6348"/>
        <w:gridCol w:w="11987"/>
      </w:tblGrid>
      <w:tr w:rsidR="003F2780" w:rsidTr="00E05BB3">
        <w:trPr>
          <w:trHeight w:val="470"/>
        </w:trPr>
        <w:tc>
          <w:tcPr>
            <w:tcW w:w="5000" w:type="pct"/>
            <w:gridSpan w:val="2"/>
            <w:tcBorders>
              <w:top w:val="nil"/>
              <w:left w:val="nil"/>
              <w:bottom w:val="nil"/>
              <w:right w:val="nil"/>
            </w:tcBorders>
            <w:shd w:val="clear" w:color="auto" w:fill="auto"/>
            <w:vAlign w:val="bottom"/>
          </w:tcPr>
          <w:p w:rsidR="003F2780" w:rsidRDefault="008F3083">
            <w:pPr>
              <w:pStyle w:val="Heading2"/>
              <w:rPr>
                <w:rFonts w:ascii="Times New Roman" w:eastAsia="Times New Roman" w:hAnsi="Times New Roman" w:cs="Times New Roman"/>
                <w:sz w:val="32"/>
                <w:szCs w:val="32"/>
              </w:rPr>
            </w:pPr>
            <w:bookmarkStart w:id="6" w:name="_3dy6vkm" w:colFirst="0" w:colLast="0"/>
            <w:bookmarkEnd w:id="6"/>
            <w:r>
              <w:rPr>
                <w:sz w:val="32"/>
                <w:szCs w:val="32"/>
              </w:rPr>
              <w:t>4. Other methodological considerations</w:t>
            </w:r>
          </w:p>
        </w:tc>
      </w:tr>
      <w:tr w:rsidR="003F2780" w:rsidTr="00E05BB3">
        <w:trPr>
          <w:trHeight w:val="300"/>
        </w:trPr>
        <w:tc>
          <w:tcPr>
            <w:tcW w:w="1731" w:type="pct"/>
            <w:tcBorders>
              <w:top w:val="nil"/>
              <w:left w:val="nil"/>
              <w:bottom w:val="nil"/>
              <w:right w:val="nil"/>
            </w:tcBorders>
            <w:shd w:val="clear" w:color="auto" w:fill="D9E1F2"/>
            <w:vAlign w:val="bottom"/>
          </w:tcPr>
          <w:p w:rsidR="003F2780" w:rsidRDefault="008F3083">
            <w:pPr>
              <w:spacing w:after="0" w:line="240" w:lineRule="auto"/>
              <w:rPr>
                <w:color w:val="000000"/>
              </w:rPr>
            </w:pPr>
            <w:r>
              <w:rPr>
                <w:color w:val="000000"/>
              </w:rPr>
              <w:t>Concept name</w:t>
            </w:r>
          </w:p>
        </w:tc>
        <w:tc>
          <w:tcPr>
            <w:tcW w:w="3269" w:type="pct"/>
            <w:tcBorders>
              <w:top w:val="nil"/>
              <w:left w:val="nil"/>
              <w:bottom w:val="nil"/>
              <w:right w:val="nil"/>
            </w:tcBorders>
            <w:shd w:val="clear" w:color="auto" w:fill="D9E1F2"/>
            <w:vAlign w:val="bottom"/>
          </w:tcPr>
          <w:p w:rsidR="003F2780" w:rsidRPr="003F688B" w:rsidRDefault="008F3083" w:rsidP="00EF33E5">
            <w:pPr>
              <w:jc w:val="both"/>
              <w:rPr>
                <w:rFonts w:asciiTheme="majorHAnsi" w:eastAsia="Times New Roman" w:hAnsiTheme="majorHAnsi" w:cstheme="majorHAnsi"/>
                <w:lang w:val="en-GB"/>
              </w:rPr>
            </w:pPr>
            <w:r w:rsidRPr="003F688B">
              <w:rPr>
                <w:rFonts w:asciiTheme="majorHAnsi" w:eastAsia="Times New Roman" w:hAnsiTheme="majorHAnsi" w:cstheme="majorHAnsi"/>
                <w:lang w:val="en-GB"/>
              </w:rPr>
              <w:t>Insert text, lists, tables, and images.</w:t>
            </w:r>
          </w:p>
        </w:tc>
      </w:tr>
      <w:tr w:rsidR="003F2780" w:rsidTr="00E05BB3">
        <w:tc>
          <w:tcPr>
            <w:tcW w:w="1731" w:type="pct"/>
            <w:tcBorders>
              <w:top w:val="single" w:sz="4" w:space="0" w:color="000000"/>
              <w:left w:val="nil"/>
              <w:bottom w:val="single" w:sz="4" w:space="0" w:color="000000"/>
              <w:right w:val="single" w:sz="4" w:space="0" w:color="000000"/>
            </w:tcBorders>
            <w:shd w:val="clear" w:color="auto" w:fill="E7E6E6"/>
          </w:tcPr>
          <w:p w:rsidR="003F2780" w:rsidRDefault="008F3083">
            <w:pPr>
              <w:spacing w:after="0" w:line="240" w:lineRule="auto"/>
              <w:rPr>
                <w:b/>
              </w:rPr>
            </w:pPr>
            <w:r>
              <w:t>4. Other methodological considerations</w:t>
            </w:r>
          </w:p>
        </w:tc>
        <w:tc>
          <w:tcPr>
            <w:tcW w:w="3269" w:type="pct"/>
            <w:tcBorders>
              <w:top w:val="single" w:sz="4" w:space="0" w:color="000000"/>
              <w:left w:val="nil"/>
              <w:bottom w:val="single" w:sz="4" w:space="0" w:color="000000"/>
              <w:right w:val="single" w:sz="4" w:space="0" w:color="000000"/>
            </w:tcBorders>
            <w:shd w:val="clear" w:color="auto" w:fill="auto"/>
          </w:tcPr>
          <w:p w:rsidR="003F2780" w:rsidRPr="00EF33E5" w:rsidRDefault="003F2780">
            <w:pPr>
              <w:jc w:val="both"/>
              <w:rPr>
                <w:rFonts w:asciiTheme="majorHAnsi" w:eastAsia="Times New Roman" w:hAnsiTheme="majorHAnsi" w:cstheme="majorHAnsi"/>
                <w:lang w:val="pt-PT"/>
              </w:rPr>
            </w:pPr>
          </w:p>
        </w:tc>
      </w:tr>
      <w:tr w:rsidR="003F2780" w:rsidRPr="003F688B" w:rsidTr="00E05BB3">
        <w:tc>
          <w:tcPr>
            <w:tcW w:w="1731" w:type="pct"/>
            <w:tcBorders>
              <w:top w:val="single" w:sz="4" w:space="0" w:color="000000"/>
              <w:left w:val="nil"/>
              <w:bottom w:val="single" w:sz="4" w:space="0" w:color="000000"/>
              <w:right w:val="single" w:sz="4" w:space="0" w:color="000000"/>
            </w:tcBorders>
            <w:shd w:val="clear" w:color="auto" w:fill="E7E6E6"/>
          </w:tcPr>
          <w:p w:rsidR="003F2780" w:rsidRDefault="008F3083">
            <w:pPr>
              <w:spacing w:after="0" w:line="240" w:lineRule="auto"/>
              <w:ind w:left="160"/>
              <w:rPr>
                <w:color w:val="000000"/>
              </w:rPr>
            </w:pPr>
            <w:r>
              <w:t>4.a. Rationale</w:t>
            </w:r>
          </w:p>
        </w:tc>
        <w:tc>
          <w:tcPr>
            <w:tcW w:w="3269" w:type="pct"/>
            <w:tcBorders>
              <w:top w:val="single" w:sz="4" w:space="0" w:color="000000"/>
              <w:left w:val="nil"/>
              <w:bottom w:val="single" w:sz="4" w:space="0" w:color="000000"/>
              <w:right w:val="single" w:sz="4" w:space="0" w:color="000000"/>
            </w:tcBorders>
            <w:shd w:val="clear" w:color="auto" w:fill="auto"/>
          </w:tcPr>
          <w:p w:rsidR="003F2780" w:rsidRPr="00EF33E5" w:rsidRDefault="00BB7EBC">
            <w:pPr>
              <w:jc w:val="both"/>
              <w:rPr>
                <w:rFonts w:asciiTheme="majorHAnsi" w:eastAsia="Times New Roman" w:hAnsiTheme="majorHAnsi" w:cstheme="majorHAnsi"/>
                <w:lang w:val="pt-PT"/>
              </w:rPr>
            </w:pPr>
            <w:r w:rsidRPr="00EF33E5">
              <w:rPr>
                <w:rFonts w:asciiTheme="majorHAnsi" w:eastAsia="Times New Roman" w:hAnsiTheme="majorHAnsi" w:cstheme="majorHAnsi"/>
                <w:lang w:val="pt-PT"/>
              </w:rPr>
              <w:t>Índice de Pobreza</w:t>
            </w:r>
            <w:r w:rsidR="008F3083" w:rsidRPr="00EF33E5">
              <w:rPr>
                <w:rFonts w:asciiTheme="majorHAnsi" w:eastAsia="Times New Roman" w:hAnsiTheme="majorHAnsi" w:cstheme="majorHAnsi"/>
                <w:lang w:val="pt-PT"/>
              </w:rPr>
              <w:t xml:space="preserve"> mostra a percentagem de pessoas que vivem com menos de 26,7 meticais por dia. Por exemplo, 46.1% significa que 41.1% das pessoas em Moçambique são pobres, ou seja, vivem com menos de 26,7 meticais por dia.</w:t>
            </w:r>
          </w:p>
        </w:tc>
      </w:tr>
      <w:tr w:rsidR="003F2780" w:rsidRPr="003F688B" w:rsidTr="00E05BB3">
        <w:tc>
          <w:tcPr>
            <w:tcW w:w="1731" w:type="pct"/>
            <w:tcBorders>
              <w:top w:val="nil"/>
              <w:left w:val="nil"/>
              <w:bottom w:val="single" w:sz="4" w:space="0" w:color="000000"/>
              <w:right w:val="single" w:sz="4" w:space="0" w:color="000000"/>
            </w:tcBorders>
            <w:shd w:val="clear" w:color="auto" w:fill="E7E6E6"/>
          </w:tcPr>
          <w:p w:rsidR="003F2780" w:rsidRDefault="008F3083">
            <w:pPr>
              <w:spacing w:after="0" w:line="240" w:lineRule="auto"/>
              <w:ind w:left="160"/>
              <w:rPr>
                <w:color w:val="000000"/>
              </w:rPr>
            </w:pPr>
            <w:r>
              <w:t>4.b. Comment and limitations</w:t>
            </w:r>
          </w:p>
        </w:tc>
        <w:tc>
          <w:tcPr>
            <w:tcW w:w="3269" w:type="pct"/>
            <w:tcBorders>
              <w:top w:val="nil"/>
              <w:left w:val="nil"/>
              <w:bottom w:val="single" w:sz="4" w:space="0" w:color="000000"/>
              <w:right w:val="single" w:sz="4" w:space="0" w:color="000000"/>
            </w:tcBorders>
            <w:shd w:val="clear" w:color="auto" w:fill="auto"/>
          </w:tcPr>
          <w:p w:rsidR="003F2780" w:rsidRPr="003C48F5" w:rsidRDefault="008F3083">
            <w:pPr>
              <w:jc w:val="both"/>
              <w:rPr>
                <w:rFonts w:asciiTheme="majorHAnsi" w:eastAsia="Times New Roman" w:hAnsiTheme="majorHAnsi" w:cstheme="majorHAnsi"/>
                <w:lang w:val="pt-PT"/>
              </w:rPr>
            </w:pPr>
            <w:r w:rsidRPr="003C48F5">
              <w:rPr>
                <w:rFonts w:asciiTheme="majorHAnsi" w:eastAsia="Times New Roman" w:hAnsiTheme="majorHAnsi" w:cstheme="majorHAnsi"/>
                <w:lang w:val="pt-PT"/>
              </w:rPr>
              <w:t>O indicador é fiável, pois os dados do IOF são representativos a nível nacional, rural, urbano e provincial.</w:t>
            </w:r>
          </w:p>
          <w:p w:rsidR="00147776" w:rsidRPr="00147776" w:rsidRDefault="008F3083" w:rsidP="00147776">
            <w:pPr>
              <w:jc w:val="both"/>
              <w:rPr>
                <w:rFonts w:asciiTheme="majorHAnsi" w:eastAsia="Times New Roman" w:hAnsiTheme="majorHAnsi" w:cstheme="majorHAnsi"/>
                <w:lang w:val="pt-PT"/>
              </w:rPr>
            </w:pPr>
            <w:r w:rsidRPr="003C48F5">
              <w:rPr>
                <w:rFonts w:asciiTheme="majorHAnsi" w:eastAsia="Times New Roman" w:hAnsiTheme="majorHAnsi" w:cstheme="majorHAnsi"/>
                <w:lang w:val="pt-PT"/>
              </w:rPr>
              <w:t xml:space="preserve">Limitações: </w:t>
            </w:r>
            <w:r w:rsidR="00147776">
              <w:rPr>
                <w:rFonts w:asciiTheme="majorHAnsi" w:eastAsia="Times New Roman" w:hAnsiTheme="majorHAnsi" w:cstheme="majorHAnsi"/>
                <w:lang w:val="pt-PT"/>
              </w:rPr>
              <w:t xml:space="preserve">De uma forma geral a grande limitação no cálculo deste indicador vem da subestimação generalizada do consumo alimentar das famílias, </w:t>
            </w:r>
            <w:r w:rsidR="00147776" w:rsidRPr="00147776">
              <w:rPr>
                <w:lang w:val="pt-PT"/>
              </w:rPr>
              <w:t>evidenciada pelos níveis de co</w:t>
            </w:r>
            <w:r w:rsidR="00147776">
              <w:rPr>
                <w:lang w:val="pt-PT"/>
              </w:rPr>
              <w:t>nsumo cal</w:t>
            </w:r>
            <w:r w:rsidR="004E1451">
              <w:rPr>
                <w:lang w:val="pt-PT"/>
              </w:rPr>
              <w:t xml:space="preserve">órico </w:t>
            </w:r>
            <w:r w:rsidR="00147776" w:rsidRPr="00147776">
              <w:rPr>
                <w:lang w:val="pt-PT"/>
              </w:rPr>
              <w:t>baixos registados em muitas áreas do país, e devida essencialmente a problemas na recolha dos dados de consumo</w:t>
            </w:r>
            <w:r w:rsidR="00147776">
              <w:rPr>
                <w:lang w:val="pt-PT"/>
              </w:rPr>
              <w:t xml:space="preserve">. </w:t>
            </w:r>
          </w:p>
        </w:tc>
      </w:tr>
      <w:tr w:rsidR="003F2780" w:rsidTr="00E05BB3">
        <w:tc>
          <w:tcPr>
            <w:tcW w:w="1731" w:type="pct"/>
            <w:tcBorders>
              <w:top w:val="nil"/>
              <w:left w:val="nil"/>
              <w:bottom w:val="single" w:sz="4" w:space="0" w:color="000000"/>
              <w:right w:val="single" w:sz="4" w:space="0" w:color="000000"/>
            </w:tcBorders>
            <w:shd w:val="clear" w:color="auto" w:fill="E7E6E6"/>
          </w:tcPr>
          <w:p w:rsidR="003F2780" w:rsidRDefault="008F3083">
            <w:pPr>
              <w:spacing w:after="0" w:line="240" w:lineRule="auto"/>
              <w:ind w:left="160"/>
              <w:rPr>
                <w:color w:val="000000"/>
              </w:rPr>
            </w:pPr>
            <w:r>
              <w:t>4.c. Method of computation</w:t>
            </w:r>
          </w:p>
        </w:tc>
        <w:tc>
          <w:tcPr>
            <w:tcW w:w="3269" w:type="pct"/>
            <w:tcBorders>
              <w:top w:val="nil"/>
              <w:left w:val="nil"/>
              <w:bottom w:val="single" w:sz="4" w:space="0" w:color="000000"/>
              <w:right w:val="single" w:sz="4" w:space="0" w:color="000000"/>
            </w:tcBorders>
            <w:shd w:val="clear" w:color="auto" w:fill="auto"/>
          </w:tcPr>
          <w:p w:rsidR="003F2780" w:rsidRPr="003C48F5" w:rsidRDefault="008F3083">
            <w:pPr>
              <w:jc w:val="both"/>
              <w:rPr>
                <w:rFonts w:asciiTheme="majorHAnsi" w:eastAsia="Times New Roman" w:hAnsiTheme="majorHAnsi" w:cstheme="majorHAnsi"/>
                <w:lang w:val="pt-PT"/>
              </w:rPr>
            </w:pPr>
            <w:r w:rsidRPr="003C48F5">
              <w:rPr>
                <w:rFonts w:asciiTheme="majorHAnsi" w:eastAsia="Times New Roman" w:hAnsiTheme="majorHAnsi" w:cstheme="majorHAnsi"/>
                <w:lang w:val="pt-PT"/>
              </w:rPr>
              <w:t xml:space="preserve">A avaliação da pobreza de consumo em Moçambique é feita com base na abordagem do Custo das Necessidades Básicas, na qual deriva-se uma linha de pobreza que inclui o consumo alimentar e não alimentar, limite no qual quem esta abaixo é considerado pobre, e quem esta no limite ou acima é considerado não pobre. Para o cálculo da pobreza utilizamos os índices de Foster, Greer e Thorbecke (FGT), assim para este indicador, utilizamos o seguinte Índice de Incidência da Pobreza: </w:t>
            </w:r>
          </w:p>
          <w:p w:rsidR="003F2780" w:rsidRPr="00EF33E5" w:rsidRDefault="00C1530B">
            <w:pPr>
              <w:jc w:val="center"/>
              <w:rPr>
                <w:rFonts w:asciiTheme="majorHAnsi" w:eastAsia="Times New Roman" w:hAnsiTheme="majorHAnsi" w:cstheme="majorHAnsi"/>
                <w:lang w:val="pt-PT"/>
              </w:rPr>
            </w:pPr>
            <m:oMathPara>
              <m:oMath>
                <m:sSub>
                  <m:sSubPr>
                    <m:ctrlPr>
                      <w:rPr>
                        <w:rFonts w:ascii="Cambria Math" w:eastAsia="Cambria Math" w:hAnsi="Cambria Math" w:cstheme="majorHAnsi"/>
                        <w:lang w:val="pt-PT"/>
                      </w:rPr>
                    </m:ctrlPr>
                  </m:sSubPr>
                  <m:e>
                    <m:r>
                      <w:rPr>
                        <w:rFonts w:ascii="Cambria Math" w:eastAsia="Cambria Math" w:hAnsi="Cambria Math" w:cstheme="majorHAnsi"/>
                        <w:lang w:val="pt-PT"/>
                      </w:rPr>
                      <m:t>P</m:t>
                    </m:r>
                  </m:e>
                  <m:sub>
                    <m:r>
                      <m:rPr>
                        <m:sty m:val="p"/>
                      </m:rPr>
                      <w:rPr>
                        <w:rFonts w:ascii="Cambria Math" w:eastAsia="Cambria Math" w:hAnsi="Cambria Math" w:cstheme="majorHAnsi"/>
                        <w:lang w:val="pt-PT"/>
                      </w:rPr>
                      <m:t>0</m:t>
                    </m:r>
                  </m:sub>
                </m:sSub>
                <m:r>
                  <m:rPr>
                    <m:sty m:val="p"/>
                  </m:rPr>
                  <w:rPr>
                    <w:rFonts w:ascii="Cambria Math" w:eastAsia="Cambria Math" w:hAnsi="Cambria Math" w:cstheme="majorHAnsi"/>
                    <w:lang w:val="pt-PT"/>
                  </w:rPr>
                  <m:t>=</m:t>
                </m:r>
                <m:f>
                  <m:fPr>
                    <m:ctrlPr>
                      <w:rPr>
                        <w:rFonts w:ascii="Cambria Math" w:eastAsia="Cambria Math" w:hAnsi="Cambria Math" w:cstheme="majorHAnsi"/>
                        <w:lang w:val="pt-PT"/>
                      </w:rPr>
                    </m:ctrlPr>
                  </m:fPr>
                  <m:num>
                    <m:r>
                      <m:rPr>
                        <m:sty m:val="p"/>
                      </m:rPr>
                      <w:rPr>
                        <w:rFonts w:ascii="Cambria Math" w:eastAsia="Cambria Math" w:hAnsi="Cambria Math" w:cstheme="majorHAnsi"/>
                        <w:lang w:val="pt-PT"/>
                      </w:rPr>
                      <m:t>1</m:t>
                    </m:r>
                  </m:num>
                  <m:den>
                    <m:r>
                      <w:rPr>
                        <w:rFonts w:ascii="Cambria Math" w:eastAsia="Cambria Math" w:hAnsi="Cambria Math" w:cstheme="majorHAnsi"/>
                        <w:lang w:val="pt-PT"/>
                      </w:rPr>
                      <m:t>N</m:t>
                    </m:r>
                  </m:den>
                </m:f>
                <m:nary>
                  <m:naryPr>
                    <m:chr m:val="∑"/>
                    <m:ctrlPr>
                      <w:rPr>
                        <w:rFonts w:ascii="Cambria Math" w:eastAsia="Cambria Math" w:hAnsi="Cambria Math" w:cstheme="majorHAnsi"/>
                        <w:lang w:val="pt-PT"/>
                      </w:rPr>
                    </m:ctrlPr>
                  </m:naryPr>
                  <m:sub>
                    <m:r>
                      <w:rPr>
                        <w:rFonts w:ascii="Cambria Math" w:eastAsia="Cambria Math" w:hAnsi="Cambria Math" w:cstheme="majorHAnsi"/>
                        <w:lang w:val="pt-PT"/>
                      </w:rPr>
                      <m:t>i</m:t>
                    </m:r>
                    <m:r>
                      <m:rPr>
                        <m:sty m:val="p"/>
                      </m:rPr>
                      <w:rPr>
                        <w:rFonts w:ascii="Cambria Math" w:eastAsia="Cambria Math" w:hAnsi="Cambria Math" w:cstheme="majorHAnsi"/>
                        <w:lang w:val="pt-PT"/>
                      </w:rPr>
                      <m:t>=1</m:t>
                    </m:r>
                  </m:sub>
                  <m:sup>
                    <m:r>
                      <w:rPr>
                        <w:rFonts w:ascii="Cambria Math" w:eastAsia="Cambria Math" w:hAnsi="Cambria Math" w:cstheme="majorHAnsi"/>
                        <w:lang w:val="pt-PT"/>
                      </w:rPr>
                      <m:t>N</m:t>
                    </m:r>
                  </m:sup>
                  <m:e/>
                </m:nary>
                <m:r>
                  <w:rPr>
                    <w:rFonts w:ascii="Cambria Math" w:eastAsia="Cambria Math" w:hAnsi="Cambria Math" w:cstheme="majorHAnsi"/>
                    <w:lang w:val="pt-PT"/>
                  </w:rPr>
                  <m:t>I</m:t>
                </m:r>
                <m:d>
                  <m:dPr>
                    <m:ctrlPr>
                      <w:rPr>
                        <w:rFonts w:ascii="Cambria Math" w:eastAsia="Cambria Math" w:hAnsi="Cambria Math" w:cstheme="majorHAnsi"/>
                        <w:lang w:val="pt-PT"/>
                      </w:rPr>
                    </m:ctrlPr>
                  </m:dPr>
                  <m:e>
                    <m:sSub>
                      <m:sSubPr>
                        <m:ctrlPr>
                          <w:rPr>
                            <w:rFonts w:ascii="Cambria Math" w:eastAsia="Cambria Math" w:hAnsi="Cambria Math" w:cstheme="majorHAnsi"/>
                            <w:lang w:val="pt-PT"/>
                          </w:rPr>
                        </m:ctrlPr>
                      </m:sSubPr>
                      <m:e>
                        <m:r>
                          <w:rPr>
                            <w:rFonts w:ascii="Cambria Math" w:eastAsia="Cambria Math" w:hAnsi="Cambria Math" w:cstheme="majorHAnsi"/>
                            <w:lang w:val="pt-PT"/>
                          </w:rPr>
                          <m:t>y</m:t>
                        </m:r>
                      </m:e>
                      <m:sub>
                        <m:r>
                          <w:rPr>
                            <w:rFonts w:ascii="Cambria Math" w:eastAsia="Cambria Math" w:hAnsi="Cambria Math" w:cstheme="majorHAnsi"/>
                            <w:lang w:val="pt-PT"/>
                          </w:rPr>
                          <m:t>i</m:t>
                        </m:r>
                      </m:sub>
                    </m:sSub>
                    <m:r>
                      <m:rPr>
                        <m:sty m:val="p"/>
                      </m:rPr>
                      <w:rPr>
                        <w:rFonts w:ascii="Cambria Math" w:eastAsia="Cambria Math" w:hAnsi="Cambria Math" w:cstheme="majorHAnsi"/>
                        <w:lang w:val="pt-PT"/>
                      </w:rPr>
                      <m:t>&lt;</m:t>
                    </m:r>
                    <m:r>
                      <w:rPr>
                        <w:rFonts w:ascii="Cambria Math" w:eastAsia="Cambria Math" w:hAnsi="Cambria Math" w:cstheme="majorHAnsi"/>
                        <w:lang w:val="pt-PT"/>
                      </w:rPr>
                      <m:t>z</m:t>
                    </m:r>
                  </m:e>
                </m:d>
                <m:r>
                  <m:rPr>
                    <m:sty m:val="p"/>
                  </m:rPr>
                  <w:rPr>
                    <w:rFonts w:ascii="Cambria Math" w:eastAsia="Cambria Math" w:hAnsi="Cambria Math" w:cstheme="majorHAnsi"/>
                    <w:lang w:val="pt-PT"/>
                  </w:rPr>
                  <m:t>=</m:t>
                </m:r>
                <m:f>
                  <m:fPr>
                    <m:ctrlPr>
                      <w:rPr>
                        <w:rFonts w:ascii="Cambria Math" w:eastAsia="Cambria Math" w:hAnsi="Cambria Math" w:cstheme="majorHAnsi"/>
                        <w:lang w:val="pt-PT"/>
                      </w:rPr>
                    </m:ctrlPr>
                  </m:fPr>
                  <m:num>
                    <m:sSub>
                      <m:sSubPr>
                        <m:ctrlPr>
                          <w:rPr>
                            <w:rFonts w:ascii="Cambria Math" w:eastAsia="Cambria Math" w:hAnsi="Cambria Math" w:cstheme="majorHAnsi"/>
                            <w:lang w:val="pt-PT"/>
                          </w:rPr>
                        </m:ctrlPr>
                      </m:sSubPr>
                      <m:e>
                        <m:r>
                          <w:rPr>
                            <w:rFonts w:ascii="Cambria Math" w:eastAsia="Cambria Math" w:hAnsi="Cambria Math" w:cstheme="majorHAnsi"/>
                            <w:lang w:val="pt-PT"/>
                          </w:rPr>
                          <m:t>N</m:t>
                        </m:r>
                      </m:e>
                      <m:sub>
                        <m:r>
                          <w:rPr>
                            <w:rFonts w:ascii="Cambria Math" w:eastAsia="Cambria Math" w:hAnsi="Cambria Math" w:cstheme="majorHAnsi"/>
                            <w:lang w:val="pt-PT"/>
                          </w:rPr>
                          <m:t>p</m:t>
                        </m:r>
                      </m:sub>
                    </m:sSub>
                  </m:num>
                  <m:den>
                    <m:r>
                      <w:rPr>
                        <w:rFonts w:ascii="Cambria Math" w:eastAsia="Cambria Math" w:hAnsi="Cambria Math" w:cstheme="majorHAnsi"/>
                        <w:lang w:val="pt-PT"/>
                      </w:rPr>
                      <m:t>N</m:t>
                    </m:r>
                  </m:den>
                </m:f>
              </m:oMath>
            </m:oMathPara>
          </w:p>
          <w:p w:rsidR="003F2780" w:rsidRPr="00EF33E5" w:rsidRDefault="008F3083" w:rsidP="00EF33E5">
            <w:pPr>
              <w:jc w:val="both"/>
              <w:rPr>
                <w:rFonts w:asciiTheme="majorHAnsi" w:eastAsia="Times New Roman" w:hAnsiTheme="majorHAnsi" w:cstheme="majorHAnsi"/>
                <w:lang w:val="pt-PT"/>
              </w:rPr>
            </w:pPr>
            <w:r w:rsidRPr="00EF33E5">
              <w:rPr>
                <w:rFonts w:asciiTheme="majorHAnsi" w:eastAsia="Times New Roman" w:hAnsiTheme="majorHAnsi" w:cstheme="majorHAnsi"/>
                <w:lang w:val="pt-PT"/>
              </w:rPr>
              <w:t xml:space="preserve">Onde: </w:t>
            </w:r>
          </w:p>
          <w:p w:rsidR="003F2780" w:rsidRPr="00EF33E5" w:rsidRDefault="00C1530B">
            <w:pPr>
              <w:rPr>
                <w:rFonts w:asciiTheme="majorHAnsi" w:eastAsia="Times New Roman" w:hAnsiTheme="majorHAnsi" w:cstheme="majorHAnsi"/>
                <w:lang w:val="pt-PT"/>
              </w:rPr>
            </w:pPr>
            <m:oMathPara>
              <m:oMathParaPr>
                <m:jc m:val="left"/>
              </m:oMathParaPr>
              <m:oMath>
                <m:sSub>
                  <m:sSubPr>
                    <m:ctrlPr>
                      <w:rPr>
                        <w:rFonts w:ascii="Cambria Math" w:eastAsia="Cambria Math" w:hAnsi="Cambria Math" w:cstheme="majorHAnsi"/>
                        <w:lang w:val="pt-PT"/>
                      </w:rPr>
                    </m:ctrlPr>
                  </m:sSubPr>
                  <m:e>
                    <m:r>
                      <w:rPr>
                        <w:rFonts w:ascii="Cambria Math" w:eastAsia="Cambria Math" w:hAnsi="Cambria Math" w:cstheme="majorHAnsi"/>
                        <w:lang w:val="pt-PT"/>
                      </w:rPr>
                      <m:t>Y</m:t>
                    </m:r>
                  </m:e>
                  <m:sub>
                    <m:r>
                      <w:rPr>
                        <w:rFonts w:ascii="Cambria Math" w:eastAsia="Cambria Math" w:hAnsi="Cambria Math" w:cstheme="majorHAnsi"/>
                        <w:lang w:val="pt-PT"/>
                      </w:rPr>
                      <m:t>i</m:t>
                    </m:r>
                  </m:sub>
                </m:sSub>
                <m:r>
                  <m:rPr>
                    <m:sty m:val="p"/>
                  </m:rPr>
                  <w:rPr>
                    <w:rFonts w:ascii="Cambria Math" w:eastAsia="Cambria Math" w:hAnsi="Cambria Math" w:cstheme="majorHAnsi"/>
                    <w:lang w:val="pt-PT"/>
                  </w:rPr>
                  <m:t xml:space="preserve">= </m:t>
                </m:r>
                <m:sSub>
                  <m:sSubPr>
                    <m:ctrlPr>
                      <w:rPr>
                        <w:rFonts w:ascii="Cambria Math" w:eastAsia="Cambria Math" w:hAnsi="Cambria Math" w:cstheme="majorHAnsi"/>
                        <w:lang w:val="pt-PT"/>
                      </w:rPr>
                    </m:ctrlPr>
                  </m:sSubPr>
                  <m:e>
                    <m:r>
                      <w:rPr>
                        <w:rFonts w:ascii="Cambria Math" w:eastAsia="Cambria Math" w:hAnsi="Cambria Math" w:cstheme="majorHAnsi"/>
                        <w:lang w:val="pt-PT"/>
                      </w:rPr>
                      <m:t>Consumo</m:t>
                    </m:r>
                    <m:r>
                      <m:rPr>
                        <m:sty m:val="p"/>
                      </m:rPr>
                      <w:rPr>
                        <w:rFonts w:ascii="Cambria Math" w:eastAsia="Cambria Math" w:hAnsi="Cambria Math" w:cstheme="majorHAnsi"/>
                        <w:lang w:val="pt-PT"/>
                      </w:rPr>
                      <m:t xml:space="preserve"> </m:t>
                    </m:r>
                    <m:r>
                      <w:rPr>
                        <w:rFonts w:ascii="Cambria Math" w:eastAsia="Cambria Math" w:hAnsi="Cambria Math" w:cstheme="majorHAnsi"/>
                        <w:lang w:val="pt-PT"/>
                      </w:rPr>
                      <m:t>do</m:t>
                    </m:r>
                    <m:r>
                      <m:rPr>
                        <m:sty m:val="p"/>
                      </m:rPr>
                      <w:rPr>
                        <w:rFonts w:ascii="Cambria Math" w:eastAsia="Cambria Math" w:hAnsi="Cambria Math" w:cstheme="majorHAnsi"/>
                        <w:lang w:val="pt-PT"/>
                      </w:rPr>
                      <m:t xml:space="preserve"> </m:t>
                    </m:r>
                    <m:r>
                      <w:rPr>
                        <w:rFonts w:ascii="Cambria Math" w:eastAsia="Cambria Math" w:hAnsi="Cambria Math" w:cstheme="majorHAnsi"/>
                        <w:lang w:val="pt-PT"/>
                      </w:rPr>
                      <m:t>individuo</m:t>
                    </m:r>
                  </m:e>
                  <m:sub>
                    <m:r>
                      <w:rPr>
                        <w:rFonts w:ascii="Cambria Math" w:eastAsia="Cambria Math" w:hAnsi="Cambria Math" w:cstheme="majorHAnsi"/>
                        <w:lang w:val="pt-PT"/>
                      </w:rPr>
                      <m:t>i</m:t>
                    </m:r>
                  </m:sub>
                </m:sSub>
              </m:oMath>
            </m:oMathPara>
          </w:p>
          <w:p w:rsidR="003F2780" w:rsidRPr="00EF33E5" w:rsidRDefault="008F3083">
            <w:pPr>
              <w:rPr>
                <w:rFonts w:asciiTheme="majorHAnsi" w:eastAsia="Times New Roman" w:hAnsiTheme="majorHAnsi" w:cstheme="majorHAnsi"/>
                <w:lang w:val="pt-PT"/>
              </w:rPr>
            </w:pPr>
            <m:oMathPara>
              <m:oMathParaPr>
                <m:jc m:val="left"/>
              </m:oMathParaPr>
              <m:oMath>
                <m:r>
                  <w:rPr>
                    <w:rFonts w:ascii="Cambria Math" w:eastAsia="Cambria Math" w:hAnsi="Cambria Math" w:cstheme="majorHAnsi"/>
                    <w:lang w:val="pt-PT"/>
                  </w:rPr>
                  <m:t>Z</m:t>
                </m:r>
                <m:r>
                  <m:rPr>
                    <m:sty m:val="p"/>
                  </m:rPr>
                  <w:rPr>
                    <w:rFonts w:ascii="Cambria Math" w:eastAsia="Cambria Math" w:hAnsi="Cambria Math" w:cstheme="majorHAnsi"/>
                    <w:lang w:val="pt-PT"/>
                  </w:rPr>
                  <m:t>=</m:t>
                </m:r>
                <m:r>
                  <w:rPr>
                    <w:rFonts w:ascii="Cambria Math" w:eastAsia="Cambria Math" w:hAnsi="Cambria Math" w:cstheme="majorHAnsi"/>
                    <w:lang w:val="pt-PT"/>
                  </w:rPr>
                  <m:t>linha</m:t>
                </m:r>
                <m:r>
                  <m:rPr>
                    <m:sty m:val="p"/>
                  </m:rPr>
                  <w:rPr>
                    <w:rFonts w:ascii="Cambria Math" w:eastAsia="Cambria Math" w:hAnsi="Cambria Math" w:cstheme="majorHAnsi"/>
                    <w:lang w:val="pt-PT"/>
                  </w:rPr>
                  <m:t xml:space="preserve"> </m:t>
                </m:r>
                <m:r>
                  <w:rPr>
                    <w:rFonts w:ascii="Cambria Math" w:eastAsia="Cambria Math" w:hAnsi="Cambria Math" w:cstheme="majorHAnsi"/>
                    <w:lang w:val="pt-PT"/>
                  </w:rPr>
                  <m:t>da</m:t>
                </m:r>
                <m:r>
                  <m:rPr>
                    <m:sty m:val="p"/>
                  </m:rPr>
                  <w:rPr>
                    <w:rFonts w:ascii="Cambria Math" w:eastAsia="Cambria Math" w:hAnsi="Cambria Math" w:cstheme="majorHAnsi"/>
                    <w:lang w:val="pt-PT"/>
                  </w:rPr>
                  <m:t xml:space="preserve"> </m:t>
                </m:r>
                <m:r>
                  <w:rPr>
                    <w:rFonts w:ascii="Cambria Math" w:eastAsia="Cambria Math" w:hAnsi="Cambria Math" w:cstheme="majorHAnsi"/>
                    <w:lang w:val="pt-PT"/>
                  </w:rPr>
                  <m:t>pobreza</m:t>
                </m:r>
                <m:r>
                  <m:rPr>
                    <m:sty m:val="p"/>
                  </m:rPr>
                  <w:rPr>
                    <w:rFonts w:ascii="Cambria Math" w:eastAsia="Cambria Math" w:hAnsi="Cambria Math" w:cstheme="majorHAnsi"/>
                    <w:lang w:val="pt-PT"/>
                  </w:rPr>
                  <m:t xml:space="preserve"> </m:t>
                </m:r>
                <m:r>
                  <w:rPr>
                    <w:rFonts w:ascii="Cambria Math" w:eastAsia="Cambria Math" w:hAnsi="Cambria Math" w:cstheme="majorHAnsi"/>
                    <w:lang w:val="pt-PT"/>
                  </w:rPr>
                  <m:t>internacional</m:t>
                </m:r>
                <m:r>
                  <m:rPr>
                    <m:sty m:val="p"/>
                  </m:rPr>
                  <w:rPr>
                    <w:rFonts w:ascii="Cambria Math" w:eastAsia="Cambria Math" w:hAnsi="Cambria Math" w:cstheme="majorHAnsi"/>
                    <w:lang w:val="pt-PT"/>
                  </w:rPr>
                  <m:t xml:space="preserve"> </m:t>
                </m:r>
              </m:oMath>
            </m:oMathPara>
          </w:p>
          <w:p w:rsidR="003F2780" w:rsidRPr="00EF33E5" w:rsidRDefault="00C1530B">
            <w:pPr>
              <w:rPr>
                <w:rFonts w:asciiTheme="majorHAnsi" w:eastAsia="Times New Roman" w:hAnsiTheme="majorHAnsi" w:cstheme="majorHAnsi"/>
                <w:lang w:val="pt-PT"/>
              </w:rPr>
            </w:pPr>
            <m:oMathPara>
              <m:oMathParaPr>
                <m:jc m:val="left"/>
              </m:oMathParaPr>
              <m:oMath>
                <m:sSub>
                  <m:sSubPr>
                    <m:ctrlPr>
                      <w:rPr>
                        <w:rFonts w:ascii="Cambria Math" w:eastAsia="Cambria Math" w:hAnsi="Cambria Math" w:cstheme="majorHAnsi"/>
                        <w:lang w:val="pt-PT"/>
                      </w:rPr>
                    </m:ctrlPr>
                  </m:sSubPr>
                  <m:e>
                    <m:r>
                      <w:rPr>
                        <w:rFonts w:ascii="Cambria Math" w:eastAsia="Cambria Math" w:hAnsi="Cambria Math" w:cstheme="majorHAnsi"/>
                        <w:lang w:val="pt-PT"/>
                      </w:rPr>
                      <m:t>N</m:t>
                    </m:r>
                  </m:e>
                  <m:sub>
                    <m:r>
                      <w:rPr>
                        <w:rFonts w:ascii="Cambria Math" w:eastAsia="Cambria Math" w:hAnsi="Cambria Math" w:cstheme="majorHAnsi"/>
                        <w:lang w:val="pt-PT"/>
                      </w:rPr>
                      <m:t>p</m:t>
                    </m:r>
                  </m:sub>
                </m:sSub>
                <m:r>
                  <m:rPr>
                    <m:sty m:val="p"/>
                  </m:rPr>
                  <w:rPr>
                    <w:rFonts w:ascii="Cambria Math" w:eastAsia="Cambria Math" w:hAnsi="Cambria Math" w:cstheme="majorHAnsi"/>
                    <w:lang w:val="pt-PT"/>
                  </w:rPr>
                  <m:t>=</m:t>
                </m:r>
                <m:r>
                  <w:rPr>
                    <w:rFonts w:ascii="Cambria Math" w:eastAsia="Cambria Math" w:hAnsi="Cambria Math" w:cstheme="majorHAnsi"/>
                    <w:lang w:val="pt-PT"/>
                  </w:rPr>
                  <m:t>N</m:t>
                </m:r>
                <m:r>
                  <m:rPr>
                    <m:sty m:val="p"/>
                  </m:rPr>
                  <w:rPr>
                    <w:rFonts w:ascii="Cambria Math" w:eastAsia="Cambria Math" w:hAnsi="Cambria Math" w:cstheme="majorHAnsi"/>
                    <w:lang w:val="pt-PT"/>
                  </w:rPr>
                  <m:t>ú</m:t>
                </m:r>
                <m:r>
                  <w:rPr>
                    <w:rFonts w:ascii="Cambria Math" w:eastAsia="Cambria Math" w:hAnsi="Cambria Math" w:cstheme="majorHAnsi"/>
                    <w:lang w:val="pt-PT"/>
                  </w:rPr>
                  <m:t>mero</m:t>
                </m:r>
                <m:r>
                  <m:rPr>
                    <m:sty m:val="p"/>
                  </m:rPr>
                  <w:rPr>
                    <w:rFonts w:ascii="Cambria Math" w:eastAsia="Cambria Math" w:hAnsi="Cambria Math" w:cstheme="majorHAnsi"/>
                    <w:lang w:val="pt-PT"/>
                  </w:rPr>
                  <m:t xml:space="preserve"> </m:t>
                </m:r>
                <m:r>
                  <w:rPr>
                    <w:rFonts w:ascii="Cambria Math" w:eastAsia="Cambria Math" w:hAnsi="Cambria Math" w:cstheme="majorHAnsi"/>
                    <w:lang w:val="pt-PT"/>
                  </w:rPr>
                  <m:t>de</m:t>
                </m:r>
                <m:r>
                  <m:rPr>
                    <m:sty m:val="p"/>
                  </m:rPr>
                  <w:rPr>
                    <w:rFonts w:ascii="Cambria Math" w:eastAsia="Cambria Math" w:hAnsi="Cambria Math" w:cstheme="majorHAnsi"/>
                    <w:lang w:val="pt-PT"/>
                  </w:rPr>
                  <m:t xml:space="preserve"> </m:t>
                </m:r>
                <m:r>
                  <w:rPr>
                    <w:rFonts w:ascii="Cambria Math" w:eastAsia="Cambria Math" w:hAnsi="Cambria Math" w:cstheme="majorHAnsi"/>
                    <w:lang w:val="pt-PT"/>
                  </w:rPr>
                  <m:t>pobres</m:t>
                </m:r>
                <m:r>
                  <m:rPr>
                    <m:sty m:val="p"/>
                  </m:rPr>
                  <w:rPr>
                    <w:rFonts w:ascii="Cambria Math" w:eastAsia="Cambria Math" w:hAnsi="Cambria Math" w:cstheme="majorHAnsi"/>
                    <w:lang w:val="pt-PT"/>
                  </w:rPr>
                  <m:t xml:space="preserve"> (</m:t>
                </m:r>
                <m:r>
                  <w:rPr>
                    <w:rFonts w:ascii="Cambria Math" w:eastAsia="Cambria Math" w:hAnsi="Cambria Math" w:cstheme="majorHAnsi"/>
                    <w:lang w:val="pt-PT"/>
                  </w:rPr>
                  <m:t>pa</m:t>
                </m:r>
                <m:r>
                  <m:rPr>
                    <m:sty m:val="p"/>
                  </m:rPr>
                  <w:rPr>
                    <w:rFonts w:ascii="Cambria Math" w:eastAsia="Cambria Math" w:hAnsi="Cambria Math" w:cstheme="majorHAnsi"/>
                    <w:lang w:val="pt-PT"/>
                  </w:rPr>
                  <m:t>í</m:t>
                </m:r>
                <m:r>
                  <w:rPr>
                    <w:rFonts w:ascii="Cambria Math" w:eastAsia="Cambria Math" w:hAnsi="Cambria Math" w:cstheme="majorHAnsi"/>
                    <w:lang w:val="pt-PT"/>
                  </w:rPr>
                  <m:t>s</m:t>
                </m:r>
                <m:r>
                  <m:rPr>
                    <m:sty m:val="p"/>
                  </m:rPr>
                  <w:rPr>
                    <w:rFonts w:ascii="Cambria Math" w:eastAsia="Cambria Math" w:hAnsi="Cambria Math" w:cstheme="majorHAnsi"/>
                    <w:lang w:val="pt-PT"/>
                  </w:rPr>
                  <m:t xml:space="preserve">, </m:t>
                </m:r>
                <m:r>
                  <w:rPr>
                    <w:rFonts w:ascii="Cambria Math" w:eastAsia="Cambria Math" w:hAnsi="Cambria Math" w:cstheme="majorHAnsi"/>
                    <w:lang w:val="pt-PT"/>
                  </w:rPr>
                  <m:t>rural</m:t>
                </m:r>
                <m:r>
                  <m:rPr>
                    <m:sty m:val="p"/>
                  </m:rPr>
                  <w:rPr>
                    <w:rFonts w:ascii="Cambria Math" w:eastAsia="Cambria Math" w:hAnsi="Cambria Math" w:cstheme="majorHAnsi"/>
                    <w:lang w:val="pt-PT"/>
                  </w:rPr>
                  <m:t xml:space="preserve"> </m:t>
                </m:r>
                <m:r>
                  <w:rPr>
                    <w:rFonts w:ascii="Cambria Math" w:eastAsia="Cambria Math" w:hAnsi="Cambria Math" w:cstheme="majorHAnsi"/>
                    <w:lang w:val="pt-PT"/>
                  </w:rPr>
                  <m:t>ou</m:t>
                </m:r>
                <m:r>
                  <m:rPr>
                    <m:sty m:val="p"/>
                  </m:rPr>
                  <w:rPr>
                    <w:rFonts w:ascii="Cambria Math" w:eastAsia="Cambria Math" w:hAnsi="Cambria Math" w:cstheme="majorHAnsi"/>
                    <w:lang w:val="pt-PT"/>
                  </w:rPr>
                  <m:t xml:space="preserve"> </m:t>
                </m:r>
                <m:r>
                  <w:rPr>
                    <w:rFonts w:ascii="Cambria Math" w:eastAsia="Cambria Math" w:hAnsi="Cambria Math" w:cstheme="majorHAnsi"/>
                    <w:lang w:val="pt-PT"/>
                  </w:rPr>
                  <m:t>urbano</m:t>
                </m:r>
                <m:r>
                  <m:rPr>
                    <m:sty m:val="p"/>
                  </m:rPr>
                  <w:rPr>
                    <w:rFonts w:ascii="Cambria Math" w:eastAsia="Cambria Math" w:hAnsi="Cambria Math" w:cstheme="majorHAnsi"/>
                    <w:lang w:val="pt-PT"/>
                  </w:rPr>
                  <m:t>)</m:t>
                </m:r>
              </m:oMath>
            </m:oMathPara>
          </w:p>
          <w:p w:rsidR="003F2780" w:rsidRPr="00EF33E5" w:rsidRDefault="008F3083">
            <w:pPr>
              <w:rPr>
                <w:rFonts w:asciiTheme="majorHAnsi" w:eastAsia="Times New Roman" w:hAnsiTheme="majorHAnsi" w:cstheme="majorHAnsi"/>
                <w:lang w:val="pt-PT"/>
              </w:rPr>
            </w:pPr>
            <m:oMathPara>
              <m:oMathParaPr>
                <m:jc m:val="left"/>
              </m:oMathParaPr>
              <m:oMath>
                <m:r>
                  <w:rPr>
                    <w:rFonts w:ascii="Cambria Math" w:eastAsia="Cambria Math" w:hAnsi="Cambria Math" w:cstheme="majorHAnsi"/>
                    <w:lang w:val="pt-PT"/>
                  </w:rPr>
                  <m:t>N</m:t>
                </m:r>
                <m:r>
                  <m:rPr>
                    <m:sty m:val="p"/>
                  </m:rPr>
                  <w:rPr>
                    <w:rFonts w:ascii="Cambria Math" w:eastAsia="Cambria Math" w:hAnsi="Cambria Math" w:cstheme="majorHAnsi"/>
                    <w:lang w:val="pt-PT"/>
                  </w:rPr>
                  <m:t>=</m:t>
                </m:r>
                <m:r>
                  <w:rPr>
                    <w:rFonts w:ascii="Cambria Math" w:eastAsia="Cambria Math" w:hAnsi="Cambria Math" w:cstheme="majorHAnsi"/>
                    <w:lang w:val="pt-PT"/>
                  </w:rPr>
                  <m:t>N</m:t>
                </m:r>
                <m:r>
                  <m:rPr>
                    <m:sty m:val="p"/>
                  </m:rPr>
                  <w:rPr>
                    <w:rFonts w:ascii="Cambria Math" w:eastAsia="Cambria Math" w:hAnsi="Cambria Math" w:cstheme="majorHAnsi"/>
                    <w:lang w:val="pt-PT"/>
                  </w:rPr>
                  <m:t>ú</m:t>
                </m:r>
                <m:r>
                  <w:rPr>
                    <w:rFonts w:ascii="Cambria Math" w:eastAsia="Cambria Math" w:hAnsi="Cambria Math" w:cstheme="majorHAnsi"/>
                    <w:lang w:val="pt-PT"/>
                  </w:rPr>
                  <m:t>mero</m:t>
                </m:r>
                <m:r>
                  <m:rPr>
                    <m:sty m:val="p"/>
                  </m:rPr>
                  <w:rPr>
                    <w:rFonts w:ascii="Cambria Math" w:eastAsia="Cambria Math" w:hAnsi="Cambria Math" w:cstheme="majorHAnsi"/>
                    <w:lang w:val="pt-PT"/>
                  </w:rPr>
                  <m:t xml:space="preserve">  </m:t>
                </m:r>
                <m:r>
                  <w:rPr>
                    <w:rFonts w:ascii="Cambria Math" w:eastAsia="Cambria Math" w:hAnsi="Cambria Math" w:cstheme="majorHAnsi"/>
                    <w:lang w:val="pt-PT"/>
                  </w:rPr>
                  <m:t>da</m:t>
                </m:r>
                <m:r>
                  <m:rPr>
                    <m:sty m:val="p"/>
                  </m:rPr>
                  <w:rPr>
                    <w:rFonts w:ascii="Cambria Math" w:eastAsia="Cambria Math" w:hAnsi="Cambria Math" w:cstheme="majorHAnsi"/>
                    <w:lang w:val="pt-PT"/>
                  </w:rPr>
                  <m:t xml:space="preserve"> </m:t>
                </m:r>
                <m:r>
                  <w:rPr>
                    <w:rFonts w:ascii="Cambria Math" w:eastAsia="Cambria Math" w:hAnsi="Cambria Math" w:cstheme="majorHAnsi"/>
                    <w:lang w:val="pt-PT"/>
                  </w:rPr>
                  <m:t>popula</m:t>
                </m:r>
                <m:r>
                  <m:rPr>
                    <m:sty m:val="p"/>
                  </m:rPr>
                  <w:rPr>
                    <w:rFonts w:ascii="Cambria Math" w:eastAsia="Cambria Math" w:hAnsi="Cambria Math" w:cstheme="majorHAnsi"/>
                    <w:lang w:val="pt-PT"/>
                  </w:rPr>
                  <m:t>çã</m:t>
                </m:r>
                <m:r>
                  <w:rPr>
                    <w:rFonts w:ascii="Cambria Math" w:eastAsia="Cambria Math" w:hAnsi="Cambria Math" w:cstheme="majorHAnsi"/>
                    <w:lang w:val="pt-PT"/>
                  </w:rPr>
                  <m:t>o</m:t>
                </m:r>
                <m:r>
                  <m:rPr>
                    <m:sty m:val="p"/>
                  </m:rPr>
                  <w:rPr>
                    <w:rFonts w:ascii="Cambria Math" w:eastAsia="Cambria Math" w:hAnsi="Cambria Math" w:cstheme="majorHAnsi"/>
                    <w:lang w:val="pt-PT"/>
                  </w:rPr>
                  <m:t xml:space="preserve"> (</m:t>
                </m:r>
                <m:r>
                  <w:rPr>
                    <w:rFonts w:ascii="Cambria Math" w:eastAsia="Cambria Math" w:hAnsi="Cambria Math" w:cstheme="majorHAnsi"/>
                    <w:lang w:val="pt-PT"/>
                  </w:rPr>
                  <m:t>pa</m:t>
                </m:r>
                <m:r>
                  <m:rPr>
                    <m:sty m:val="p"/>
                  </m:rPr>
                  <w:rPr>
                    <w:rFonts w:ascii="Cambria Math" w:eastAsia="Cambria Math" w:hAnsi="Cambria Math" w:cstheme="majorHAnsi"/>
                    <w:lang w:val="pt-PT"/>
                  </w:rPr>
                  <m:t>í</m:t>
                </m:r>
                <m:r>
                  <w:rPr>
                    <w:rFonts w:ascii="Cambria Math" w:eastAsia="Cambria Math" w:hAnsi="Cambria Math" w:cstheme="majorHAnsi"/>
                    <w:lang w:val="pt-PT"/>
                  </w:rPr>
                  <m:t>s</m:t>
                </m:r>
                <m:r>
                  <m:rPr>
                    <m:sty m:val="p"/>
                  </m:rPr>
                  <w:rPr>
                    <w:rFonts w:ascii="Cambria Math" w:eastAsia="Cambria Math" w:hAnsi="Cambria Math" w:cstheme="majorHAnsi"/>
                    <w:lang w:val="pt-PT"/>
                  </w:rPr>
                  <m:t xml:space="preserve">, </m:t>
                </m:r>
                <m:r>
                  <w:rPr>
                    <w:rFonts w:ascii="Cambria Math" w:eastAsia="Cambria Math" w:hAnsi="Cambria Math" w:cstheme="majorHAnsi"/>
                    <w:lang w:val="pt-PT"/>
                  </w:rPr>
                  <m:t>rural</m:t>
                </m:r>
                <m:r>
                  <m:rPr>
                    <m:sty m:val="p"/>
                  </m:rPr>
                  <w:rPr>
                    <w:rFonts w:ascii="Cambria Math" w:eastAsia="Cambria Math" w:hAnsi="Cambria Math" w:cstheme="majorHAnsi"/>
                    <w:lang w:val="pt-PT"/>
                  </w:rPr>
                  <m:t xml:space="preserve"> </m:t>
                </m:r>
                <m:r>
                  <w:rPr>
                    <w:rFonts w:ascii="Cambria Math" w:eastAsia="Cambria Math" w:hAnsi="Cambria Math" w:cstheme="majorHAnsi"/>
                    <w:lang w:val="pt-PT"/>
                  </w:rPr>
                  <m:t>ou</m:t>
                </m:r>
                <m:r>
                  <m:rPr>
                    <m:sty m:val="p"/>
                  </m:rPr>
                  <w:rPr>
                    <w:rFonts w:ascii="Cambria Math" w:eastAsia="Cambria Math" w:hAnsi="Cambria Math" w:cstheme="majorHAnsi"/>
                    <w:lang w:val="pt-PT"/>
                  </w:rPr>
                  <m:t xml:space="preserve"> </m:t>
                </m:r>
                <m:r>
                  <w:rPr>
                    <w:rFonts w:ascii="Cambria Math" w:eastAsia="Cambria Math" w:hAnsi="Cambria Math" w:cstheme="majorHAnsi"/>
                    <w:lang w:val="pt-PT"/>
                  </w:rPr>
                  <m:t>urbana</m:t>
                </m:r>
                <m:r>
                  <m:rPr>
                    <m:sty m:val="p"/>
                  </m:rPr>
                  <w:rPr>
                    <w:rFonts w:ascii="Cambria Math" w:eastAsia="Cambria Math" w:hAnsi="Cambria Math" w:cstheme="majorHAnsi"/>
                    <w:lang w:val="pt-PT"/>
                  </w:rPr>
                  <m:t xml:space="preserve">) </m:t>
                </m:r>
              </m:oMath>
            </m:oMathPara>
          </w:p>
          <w:p w:rsidR="003F2780" w:rsidRPr="00EF33E5" w:rsidRDefault="003F2780">
            <w:pPr>
              <w:rPr>
                <w:rFonts w:asciiTheme="majorHAnsi" w:eastAsia="Times New Roman" w:hAnsiTheme="majorHAnsi" w:cstheme="majorHAnsi"/>
                <w:lang w:val="pt-PT"/>
              </w:rPr>
            </w:pPr>
          </w:p>
        </w:tc>
      </w:tr>
      <w:tr w:rsidR="003F2780" w:rsidRPr="003F688B" w:rsidTr="00E05BB3">
        <w:tc>
          <w:tcPr>
            <w:tcW w:w="1731" w:type="pct"/>
            <w:tcBorders>
              <w:top w:val="nil"/>
              <w:left w:val="nil"/>
              <w:bottom w:val="single" w:sz="4" w:space="0" w:color="000000"/>
              <w:right w:val="single" w:sz="4" w:space="0" w:color="000000"/>
            </w:tcBorders>
            <w:shd w:val="clear" w:color="auto" w:fill="E7E6E6"/>
          </w:tcPr>
          <w:p w:rsidR="003F2780" w:rsidRDefault="008F3083">
            <w:pPr>
              <w:spacing w:after="0" w:line="240" w:lineRule="auto"/>
              <w:ind w:left="160"/>
              <w:rPr>
                <w:color w:val="000000"/>
              </w:rPr>
            </w:pPr>
            <w:r>
              <w:t>4.d. Validation</w:t>
            </w:r>
          </w:p>
        </w:tc>
        <w:tc>
          <w:tcPr>
            <w:tcW w:w="3269" w:type="pct"/>
            <w:tcBorders>
              <w:top w:val="nil"/>
              <w:left w:val="nil"/>
              <w:bottom w:val="single" w:sz="4" w:space="0" w:color="000000"/>
              <w:right w:val="single" w:sz="4" w:space="0" w:color="000000"/>
            </w:tcBorders>
            <w:shd w:val="clear" w:color="auto" w:fill="auto"/>
          </w:tcPr>
          <w:p w:rsidR="003F2780" w:rsidRPr="00E05BB3" w:rsidRDefault="00E05BB3" w:rsidP="00E05BB3">
            <w:pPr>
              <w:jc w:val="both"/>
              <w:rPr>
                <w:rFonts w:asciiTheme="majorHAnsi" w:eastAsia="Times New Roman" w:hAnsiTheme="majorHAnsi" w:cstheme="majorHAnsi"/>
                <w:lang w:val="pt-PT"/>
              </w:rPr>
            </w:pPr>
            <w:r>
              <w:rPr>
                <w:rFonts w:asciiTheme="majorHAnsi" w:eastAsia="Times New Roman" w:hAnsiTheme="majorHAnsi" w:cstheme="majorHAnsi"/>
                <w:lang w:val="pt-PT"/>
              </w:rPr>
              <w:t>1. Os dados utilizados são fiáveis a nível nacion</w:t>
            </w:r>
            <w:r w:rsidR="003C4830">
              <w:rPr>
                <w:rFonts w:asciiTheme="majorHAnsi" w:eastAsia="Times New Roman" w:hAnsiTheme="majorHAnsi" w:cstheme="majorHAnsi"/>
                <w:lang w:val="pt-PT"/>
              </w:rPr>
              <w:t>al, rural, urbano e provincial;</w:t>
            </w:r>
          </w:p>
          <w:p w:rsidR="003F2780" w:rsidRPr="004E1451" w:rsidRDefault="00E05BB3" w:rsidP="004E1451">
            <w:pPr>
              <w:pBdr>
                <w:top w:val="nil"/>
                <w:left w:val="nil"/>
                <w:bottom w:val="nil"/>
                <w:right w:val="nil"/>
                <w:between w:val="nil"/>
              </w:pBdr>
              <w:spacing w:after="0" w:line="276" w:lineRule="auto"/>
              <w:jc w:val="both"/>
              <w:rPr>
                <w:rFonts w:asciiTheme="majorHAnsi" w:eastAsia="Times New Roman" w:hAnsiTheme="majorHAnsi" w:cstheme="majorHAnsi"/>
                <w:color w:val="000000"/>
                <w:lang w:val="pt-PT"/>
              </w:rPr>
            </w:pPr>
            <w:r>
              <w:rPr>
                <w:rFonts w:asciiTheme="majorHAnsi" w:eastAsia="Times New Roman" w:hAnsiTheme="majorHAnsi" w:cstheme="majorHAnsi"/>
                <w:color w:val="000000"/>
                <w:lang w:val="pt-PT"/>
              </w:rPr>
              <w:t xml:space="preserve">2. </w:t>
            </w:r>
            <w:r w:rsidR="003C4830">
              <w:rPr>
                <w:rFonts w:asciiTheme="majorHAnsi" w:eastAsia="Times New Roman" w:hAnsiTheme="majorHAnsi" w:cstheme="majorHAnsi"/>
                <w:color w:val="000000"/>
                <w:lang w:val="pt-PT"/>
              </w:rPr>
              <w:t>Discussão interna a nível da Direcção Nacional de Politicas e Desenvolvimento Económico, do Ministério da Economia e Finanças. E a discussão com os parceiros e a Sociedade Civil</w:t>
            </w:r>
            <w:r w:rsidR="00147776">
              <w:rPr>
                <w:rFonts w:asciiTheme="majorHAnsi" w:eastAsia="Times New Roman" w:hAnsiTheme="majorHAnsi" w:cstheme="majorHAnsi"/>
                <w:color w:val="000000"/>
                <w:lang w:val="pt-PT"/>
              </w:rPr>
              <w:t xml:space="preserve">. </w:t>
            </w:r>
          </w:p>
        </w:tc>
      </w:tr>
      <w:tr w:rsidR="003F2780" w:rsidTr="00E05BB3">
        <w:tc>
          <w:tcPr>
            <w:tcW w:w="1731" w:type="pct"/>
            <w:tcBorders>
              <w:top w:val="nil"/>
              <w:left w:val="nil"/>
              <w:bottom w:val="single" w:sz="4" w:space="0" w:color="000000"/>
              <w:right w:val="single" w:sz="4" w:space="0" w:color="000000"/>
            </w:tcBorders>
            <w:shd w:val="clear" w:color="auto" w:fill="E7E6E6"/>
          </w:tcPr>
          <w:p w:rsidR="003F2780" w:rsidRDefault="008F3083">
            <w:pPr>
              <w:spacing w:after="0" w:line="240" w:lineRule="auto"/>
              <w:ind w:left="160"/>
              <w:rPr>
                <w:color w:val="000000"/>
              </w:rPr>
            </w:pPr>
            <w:r>
              <w:t>4.e. Adjustments</w:t>
            </w:r>
          </w:p>
        </w:tc>
        <w:tc>
          <w:tcPr>
            <w:tcW w:w="3269" w:type="pct"/>
            <w:tcBorders>
              <w:top w:val="nil"/>
              <w:left w:val="nil"/>
              <w:bottom w:val="single" w:sz="4" w:space="0" w:color="000000"/>
              <w:right w:val="single" w:sz="4" w:space="0" w:color="000000"/>
            </w:tcBorders>
            <w:shd w:val="clear" w:color="auto" w:fill="auto"/>
          </w:tcPr>
          <w:p w:rsidR="003F2780" w:rsidRPr="003C48F5" w:rsidRDefault="003F2780">
            <w:pPr>
              <w:rPr>
                <w:rFonts w:asciiTheme="majorHAnsi" w:hAnsiTheme="majorHAnsi" w:cstheme="majorHAnsi"/>
              </w:rPr>
            </w:pPr>
          </w:p>
        </w:tc>
      </w:tr>
      <w:tr w:rsidR="003F2780" w:rsidTr="00E05BB3">
        <w:tc>
          <w:tcPr>
            <w:tcW w:w="1731" w:type="pct"/>
            <w:tcBorders>
              <w:top w:val="nil"/>
              <w:left w:val="nil"/>
              <w:bottom w:val="single" w:sz="4" w:space="0" w:color="000000"/>
              <w:right w:val="single" w:sz="4" w:space="0" w:color="000000"/>
            </w:tcBorders>
            <w:shd w:val="clear" w:color="auto" w:fill="E7E6E6"/>
          </w:tcPr>
          <w:p w:rsidR="003F2780" w:rsidRDefault="008F3083">
            <w:pPr>
              <w:spacing w:after="0" w:line="240" w:lineRule="auto"/>
              <w:ind w:left="160"/>
              <w:rPr>
                <w:color w:val="000000"/>
              </w:rPr>
            </w:pPr>
            <w:r>
              <w:t>4.f. Treatment of missing values (i) at country level and (ii) at regional level</w:t>
            </w:r>
          </w:p>
        </w:tc>
        <w:tc>
          <w:tcPr>
            <w:tcW w:w="3269" w:type="pct"/>
            <w:tcBorders>
              <w:top w:val="nil"/>
              <w:left w:val="nil"/>
              <w:bottom w:val="single" w:sz="4" w:space="0" w:color="000000"/>
              <w:right w:val="single" w:sz="4" w:space="0" w:color="000000"/>
            </w:tcBorders>
            <w:shd w:val="clear" w:color="auto" w:fill="auto"/>
          </w:tcPr>
          <w:p w:rsidR="003F2780" w:rsidRPr="003C48F5" w:rsidRDefault="003F2780">
            <w:pPr>
              <w:rPr>
                <w:rFonts w:asciiTheme="majorHAnsi" w:hAnsiTheme="majorHAnsi" w:cstheme="majorHAnsi"/>
              </w:rPr>
            </w:pPr>
          </w:p>
        </w:tc>
      </w:tr>
      <w:tr w:rsidR="003F2780" w:rsidTr="00E05BB3">
        <w:tc>
          <w:tcPr>
            <w:tcW w:w="1731" w:type="pct"/>
            <w:tcBorders>
              <w:top w:val="nil"/>
              <w:left w:val="nil"/>
              <w:bottom w:val="single" w:sz="4" w:space="0" w:color="000000"/>
              <w:right w:val="single" w:sz="4" w:space="0" w:color="000000"/>
            </w:tcBorders>
            <w:shd w:val="clear" w:color="auto" w:fill="E7E6E6"/>
          </w:tcPr>
          <w:p w:rsidR="003F2780" w:rsidRDefault="008F3083">
            <w:pPr>
              <w:spacing w:after="0" w:line="240" w:lineRule="auto"/>
              <w:ind w:left="160"/>
              <w:rPr>
                <w:color w:val="000000"/>
              </w:rPr>
            </w:pPr>
            <w:r>
              <w:t>4.g. Regional aggregations</w:t>
            </w:r>
          </w:p>
        </w:tc>
        <w:tc>
          <w:tcPr>
            <w:tcW w:w="3269" w:type="pct"/>
            <w:tcBorders>
              <w:top w:val="nil"/>
              <w:left w:val="nil"/>
              <w:bottom w:val="single" w:sz="4" w:space="0" w:color="000000"/>
              <w:right w:val="single" w:sz="4" w:space="0" w:color="000000"/>
            </w:tcBorders>
            <w:shd w:val="clear" w:color="auto" w:fill="auto"/>
          </w:tcPr>
          <w:p w:rsidR="003F2780" w:rsidRPr="003C48F5" w:rsidRDefault="003F2780">
            <w:pPr>
              <w:rPr>
                <w:rFonts w:asciiTheme="majorHAnsi" w:hAnsiTheme="majorHAnsi" w:cstheme="majorHAnsi"/>
              </w:rPr>
            </w:pPr>
          </w:p>
        </w:tc>
      </w:tr>
      <w:tr w:rsidR="003F2780" w:rsidTr="00E05BB3">
        <w:tc>
          <w:tcPr>
            <w:tcW w:w="1731" w:type="pct"/>
            <w:tcBorders>
              <w:top w:val="nil"/>
              <w:left w:val="nil"/>
              <w:bottom w:val="single" w:sz="4" w:space="0" w:color="000000"/>
              <w:right w:val="single" w:sz="4" w:space="0" w:color="000000"/>
            </w:tcBorders>
            <w:shd w:val="clear" w:color="auto" w:fill="E7E6E6"/>
          </w:tcPr>
          <w:p w:rsidR="003F2780" w:rsidRDefault="008F3083">
            <w:pPr>
              <w:spacing w:after="0" w:line="240" w:lineRule="auto"/>
              <w:ind w:left="160"/>
              <w:rPr>
                <w:color w:val="000000"/>
              </w:rPr>
            </w:pPr>
            <w:r>
              <w:t>4.h. Methods and guidance available to countries for the compilation of the data at the national level</w:t>
            </w:r>
          </w:p>
        </w:tc>
        <w:tc>
          <w:tcPr>
            <w:tcW w:w="3269" w:type="pct"/>
            <w:tcBorders>
              <w:top w:val="nil"/>
              <w:left w:val="nil"/>
              <w:bottom w:val="single" w:sz="4" w:space="0" w:color="000000"/>
              <w:right w:val="single" w:sz="4" w:space="0" w:color="000000"/>
            </w:tcBorders>
            <w:shd w:val="clear" w:color="auto" w:fill="auto"/>
          </w:tcPr>
          <w:p w:rsidR="003F2780" w:rsidRPr="003C48F5" w:rsidRDefault="003F2780">
            <w:pPr>
              <w:rPr>
                <w:rFonts w:asciiTheme="majorHAnsi" w:hAnsiTheme="majorHAnsi" w:cstheme="majorHAnsi"/>
              </w:rPr>
            </w:pPr>
          </w:p>
        </w:tc>
      </w:tr>
      <w:tr w:rsidR="003F2780" w:rsidRPr="003F688B" w:rsidTr="00E05BB3">
        <w:tc>
          <w:tcPr>
            <w:tcW w:w="1731" w:type="pct"/>
            <w:tcBorders>
              <w:top w:val="nil"/>
              <w:left w:val="nil"/>
              <w:bottom w:val="single" w:sz="4" w:space="0" w:color="000000"/>
              <w:right w:val="single" w:sz="4" w:space="0" w:color="000000"/>
            </w:tcBorders>
            <w:shd w:val="clear" w:color="auto" w:fill="E7E6E6"/>
          </w:tcPr>
          <w:p w:rsidR="003F2780" w:rsidRDefault="008F3083">
            <w:pPr>
              <w:spacing w:after="0" w:line="240" w:lineRule="auto"/>
              <w:ind w:left="160"/>
              <w:rPr>
                <w:color w:val="000000"/>
              </w:rPr>
            </w:pPr>
            <w:r>
              <w:t>4.i. Quality management</w:t>
            </w:r>
          </w:p>
        </w:tc>
        <w:tc>
          <w:tcPr>
            <w:tcW w:w="3269" w:type="pct"/>
            <w:tcBorders>
              <w:top w:val="nil"/>
              <w:left w:val="nil"/>
              <w:bottom w:val="single" w:sz="4" w:space="0" w:color="000000"/>
              <w:right w:val="single" w:sz="4" w:space="0" w:color="000000"/>
            </w:tcBorders>
            <w:shd w:val="clear" w:color="auto" w:fill="auto"/>
          </w:tcPr>
          <w:p w:rsidR="003F2780" w:rsidRPr="003E44FD" w:rsidRDefault="003E44FD">
            <w:pPr>
              <w:rPr>
                <w:rFonts w:asciiTheme="majorHAnsi" w:hAnsiTheme="majorHAnsi" w:cstheme="majorHAnsi"/>
                <w:lang w:val="pt-PT"/>
              </w:rPr>
            </w:pPr>
            <w:r w:rsidRPr="00514E0C">
              <w:rPr>
                <w:lang w:val="pt-PT"/>
              </w:rPr>
              <w:t>Em processo de criação do Sistema de Ges</w:t>
            </w:r>
            <w:r>
              <w:rPr>
                <w:lang w:val="pt-PT"/>
              </w:rPr>
              <w:t>tão de Qualidade a nível do Sistema Estatístico Nacional.</w:t>
            </w:r>
          </w:p>
        </w:tc>
      </w:tr>
      <w:tr w:rsidR="003F2780" w:rsidRPr="003F688B" w:rsidTr="00E05BB3">
        <w:tc>
          <w:tcPr>
            <w:tcW w:w="1731" w:type="pct"/>
            <w:tcBorders>
              <w:top w:val="nil"/>
              <w:left w:val="nil"/>
              <w:bottom w:val="single" w:sz="4" w:space="0" w:color="000000"/>
              <w:right w:val="single" w:sz="4" w:space="0" w:color="000000"/>
            </w:tcBorders>
            <w:shd w:val="clear" w:color="auto" w:fill="E7E6E6"/>
          </w:tcPr>
          <w:p w:rsidR="003F2780" w:rsidRDefault="008F3083">
            <w:pPr>
              <w:spacing w:after="0" w:line="240" w:lineRule="auto"/>
              <w:ind w:left="160"/>
              <w:rPr>
                <w:color w:val="000000"/>
              </w:rPr>
            </w:pPr>
            <w:r>
              <w:t>4.j. Quality assurance</w:t>
            </w:r>
          </w:p>
        </w:tc>
        <w:tc>
          <w:tcPr>
            <w:tcW w:w="3269" w:type="pct"/>
            <w:tcBorders>
              <w:top w:val="nil"/>
              <w:left w:val="nil"/>
              <w:bottom w:val="single" w:sz="4" w:space="0" w:color="000000"/>
              <w:right w:val="single" w:sz="4" w:space="0" w:color="000000"/>
            </w:tcBorders>
            <w:shd w:val="clear" w:color="auto" w:fill="auto"/>
          </w:tcPr>
          <w:p w:rsidR="003F2780" w:rsidRPr="006704F2" w:rsidRDefault="0035256B" w:rsidP="00717202">
            <w:pPr>
              <w:jc w:val="both"/>
              <w:rPr>
                <w:rFonts w:asciiTheme="majorHAnsi" w:eastAsia="Times New Roman" w:hAnsiTheme="majorHAnsi" w:cstheme="majorHAnsi"/>
                <w:lang w:val="pt-PT"/>
              </w:rPr>
            </w:pPr>
            <w:r>
              <w:rPr>
                <w:rFonts w:cstheme="minorHAnsi"/>
                <w:lang w:val="pt-PT"/>
              </w:rPr>
              <w:t>Existe uma equipa composta pelo Ministério de Economia e Finanças, Instituto Nacional de Estatística e o Banco Mundial que colabora desde o momento da formulação dos inquéritos do IOF, recolha de dados, e disseminação dos resultados.</w:t>
            </w:r>
          </w:p>
        </w:tc>
      </w:tr>
      <w:tr w:rsidR="003F2780" w:rsidRPr="003F688B" w:rsidTr="00E05BB3">
        <w:tc>
          <w:tcPr>
            <w:tcW w:w="1731" w:type="pct"/>
            <w:tcBorders>
              <w:top w:val="nil"/>
              <w:left w:val="nil"/>
              <w:bottom w:val="single" w:sz="4" w:space="0" w:color="000000"/>
              <w:right w:val="single" w:sz="4" w:space="0" w:color="000000"/>
            </w:tcBorders>
            <w:shd w:val="clear" w:color="auto" w:fill="E7E6E6"/>
          </w:tcPr>
          <w:p w:rsidR="003F2780" w:rsidRDefault="008F3083">
            <w:pPr>
              <w:spacing w:after="0" w:line="240" w:lineRule="auto"/>
              <w:ind w:left="160"/>
              <w:rPr>
                <w:color w:val="000000"/>
              </w:rPr>
            </w:pPr>
            <w:r>
              <w:t>4.k. Quality assessment</w:t>
            </w:r>
          </w:p>
        </w:tc>
        <w:tc>
          <w:tcPr>
            <w:tcW w:w="3269" w:type="pct"/>
            <w:tcBorders>
              <w:top w:val="nil"/>
              <w:left w:val="nil"/>
              <w:bottom w:val="single" w:sz="4" w:space="0" w:color="000000"/>
              <w:right w:val="single" w:sz="4" w:space="0" w:color="000000"/>
            </w:tcBorders>
            <w:shd w:val="clear" w:color="auto" w:fill="auto"/>
          </w:tcPr>
          <w:p w:rsidR="003F2780" w:rsidRPr="003E44FD" w:rsidRDefault="003E44FD">
            <w:pPr>
              <w:rPr>
                <w:rFonts w:asciiTheme="majorHAnsi" w:hAnsiTheme="majorHAnsi" w:cstheme="majorHAnsi"/>
                <w:lang w:val="pt-PT"/>
              </w:rPr>
            </w:pPr>
            <w:r>
              <w:rPr>
                <w:lang w:val="pt-PT"/>
              </w:rPr>
              <w:t xml:space="preserve">Os instrumentos para a avaliação da qualidade dos processos e produtos estatísticos a nível do Sistema Estatístico Nacional </w:t>
            </w:r>
            <w:r w:rsidR="003F688B">
              <w:rPr>
                <w:lang w:val="pt-PT"/>
              </w:rPr>
              <w:t>ainda</w:t>
            </w:r>
            <w:bookmarkStart w:id="7" w:name="_GoBack"/>
            <w:bookmarkEnd w:id="7"/>
            <w:r>
              <w:rPr>
                <w:lang w:val="pt-PT"/>
              </w:rPr>
              <w:t xml:space="preserve"> estão a ser desenvolvidos com base nos 19 princípios de qualidade estabelecidos pela Comissão de Estatística das Nações Unidas.</w:t>
            </w:r>
          </w:p>
        </w:tc>
      </w:tr>
    </w:tbl>
    <w:p w:rsidR="003F2780" w:rsidRPr="003E44FD" w:rsidRDefault="003F2780">
      <w:pPr>
        <w:rPr>
          <w:lang w:val="pt-PT"/>
        </w:rPr>
      </w:pPr>
    </w:p>
    <w:tbl>
      <w:tblPr>
        <w:tblStyle w:val="a4"/>
        <w:tblW w:w="9043" w:type="dxa"/>
        <w:tblLayout w:type="fixed"/>
        <w:tblLook w:val="0400" w:firstRow="0" w:lastRow="0" w:firstColumn="0" w:lastColumn="0" w:noHBand="0" w:noVBand="1"/>
      </w:tblPr>
      <w:tblGrid>
        <w:gridCol w:w="3019"/>
        <w:gridCol w:w="6024"/>
      </w:tblGrid>
      <w:tr w:rsidR="003F2780">
        <w:trPr>
          <w:trHeight w:val="470"/>
        </w:trPr>
        <w:tc>
          <w:tcPr>
            <w:tcW w:w="9043" w:type="dxa"/>
            <w:gridSpan w:val="2"/>
            <w:tcBorders>
              <w:top w:val="nil"/>
              <w:left w:val="nil"/>
              <w:bottom w:val="nil"/>
              <w:right w:val="nil"/>
            </w:tcBorders>
            <w:shd w:val="clear" w:color="auto" w:fill="auto"/>
            <w:vAlign w:val="bottom"/>
          </w:tcPr>
          <w:p w:rsidR="003F2780" w:rsidRDefault="008F3083">
            <w:pPr>
              <w:pStyle w:val="Heading2"/>
              <w:rPr>
                <w:rFonts w:ascii="Times New Roman" w:eastAsia="Times New Roman" w:hAnsi="Times New Roman" w:cs="Times New Roman"/>
                <w:sz w:val="32"/>
                <w:szCs w:val="32"/>
              </w:rPr>
            </w:pPr>
            <w:bookmarkStart w:id="8" w:name="_1t3h5sf" w:colFirst="0" w:colLast="0"/>
            <w:bookmarkEnd w:id="8"/>
            <w:r>
              <w:rPr>
                <w:sz w:val="32"/>
                <w:szCs w:val="32"/>
              </w:rPr>
              <w:t>5. Data availability and disaggregation</w:t>
            </w:r>
          </w:p>
        </w:tc>
      </w:tr>
      <w:tr w:rsidR="003F2780">
        <w:trPr>
          <w:trHeight w:val="300"/>
        </w:trPr>
        <w:tc>
          <w:tcPr>
            <w:tcW w:w="3019" w:type="dxa"/>
            <w:tcBorders>
              <w:top w:val="nil"/>
              <w:left w:val="nil"/>
              <w:bottom w:val="nil"/>
              <w:right w:val="nil"/>
            </w:tcBorders>
            <w:shd w:val="clear" w:color="auto" w:fill="D9E1F2"/>
            <w:vAlign w:val="bottom"/>
          </w:tcPr>
          <w:p w:rsidR="003F2780" w:rsidRDefault="008F3083">
            <w:pPr>
              <w:spacing w:after="0" w:line="240" w:lineRule="auto"/>
              <w:rPr>
                <w:color w:val="000000"/>
              </w:rPr>
            </w:pPr>
            <w:r>
              <w:rPr>
                <w:color w:val="000000"/>
              </w:rPr>
              <w:t>Concept name</w:t>
            </w:r>
          </w:p>
        </w:tc>
        <w:tc>
          <w:tcPr>
            <w:tcW w:w="6024" w:type="dxa"/>
            <w:tcBorders>
              <w:top w:val="nil"/>
              <w:left w:val="nil"/>
              <w:bottom w:val="single" w:sz="4" w:space="0" w:color="000000"/>
              <w:right w:val="nil"/>
            </w:tcBorders>
            <w:shd w:val="clear" w:color="auto" w:fill="D9E1F2"/>
            <w:vAlign w:val="bottom"/>
          </w:tcPr>
          <w:p w:rsidR="003F2780" w:rsidRDefault="008F3083">
            <w:pPr>
              <w:spacing w:after="0" w:line="240" w:lineRule="auto"/>
              <w:ind w:right="-3475"/>
              <w:rPr>
                <w:color w:val="000000"/>
              </w:rPr>
            </w:pPr>
            <w:r>
              <w:rPr>
                <w:i/>
                <w:color w:val="000000"/>
              </w:rPr>
              <w:t>Insert text, lists, tables, and images.</w:t>
            </w:r>
          </w:p>
        </w:tc>
      </w:tr>
      <w:tr w:rsidR="003F2780" w:rsidRPr="003F688B">
        <w:trPr>
          <w:trHeight w:val="575"/>
        </w:trPr>
        <w:tc>
          <w:tcPr>
            <w:tcW w:w="3019" w:type="dxa"/>
            <w:tcBorders>
              <w:top w:val="single" w:sz="4" w:space="0" w:color="000000"/>
              <w:left w:val="nil"/>
              <w:bottom w:val="single" w:sz="4" w:space="0" w:color="000000"/>
              <w:right w:val="single" w:sz="4" w:space="0" w:color="000000"/>
            </w:tcBorders>
            <w:shd w:val="clear" w:color="auto" w:fill="E7E6E6"/>
          </w:tcPr>
          <w:p w:rsidR="003F2780" w:rsidRDefault="008F3083">
            <w:pPr>
              <w:spacing w:after="0" w:line="240" w:lineRule="auto"/>
              <w:rPr>
                <w:color w:val="000000"/>
              </w:rPr>
            </w:pPr>
            <w:r>
              <w:t>5. Data availability and disaggregation</w:t>
            </w:r>
          </w:p>
        </w:tc>
        <w:tc>
          <w:tcPr>
            <w:tcW w:w="6024" w:type="dxa"/>
            <w:tcBorders>
              <w:top w:val="single" w:sz="4" w:space="0" w:color="000000"/>
              <w:left w:val="nil"/>
              <w:bottom w:val="single" w:sz="4" w:space="0" w:color="000000"/>
              <w:right w:val="single" w:sz="4" w:space="0" w:color="000000"/>
            </w:tcBorders>
            <w:shd w:val="clear" w:color="auto" w:fill="auto"/>
          </w:tcPr>
          <w:p w:rsidR="003F2780" w:rsidRPr="00EF33E5" w:rsidRDefault="008F3083">
            <w:pPr>
              <w:jc w:val="both"/>
              <w:rPr>
                <w:rFonts w:asciiTheme="majorHAnsi" w:eastAsia="Times New Roman" w:hAnsiTheme="majorHAnsi" w:cstheme="majorHAnsi"/>
                <w:sz w:val="24"/>
                <w:szCs w:val="24"/>
                <w:lang w:val="pt-PT"/>
              </w:rPr>
            </w:pPr>
            <w:r w:rsidRPr="00EF33E5">
              <w:rPr>
                <w:rFonts w:asciiTheme="majorHAnsi" w:eastAsia="Times New Roman" w:hAnsiTheme="majorHAnsi" w:cstheme="majorHAnsi"/>
                <w:szCs w:val="24"/>
                <w:lang w:val="pt-PT"/>
              </w:rPr>
              <w:t xml:space="preserve">Dados disponibilizado a cada 6 anos. Desagregados por área de residência (rural e urbano), região (Sul, Centro e Norte), sexo, província, faixa etária e </w:t>
            </w:r>
            <w:r w:rsidRPr="00EF33E5">
              <w:rPr>
                <w:rFonts w:asciiTheme="majorHAnsi" w:eastAsia="Times New Roman" w:hAnsiTheme="majorHAnsi" w:cstheme="majorHAnsi"/>
                <w:i/>
                <w:szCs w:val="24"/>
                <w:lang w:val="pt-PT"/>
              </w:rPr>
              <w:t>status</w:t>
            </w:r>
            <w:r w:rsidRPr="00EF33E5">
              <w:rPr>
                <w:rFonts w:asciiTheme="majorHAnsi" w:eastAsia="Times New Roman" w:hAnsiTheme="majorHAnsi" w:cstheme="majorHAnsi"/>
                <w:szCs w:val="24"/>
                <w:lang w:val="pt-PT"/>
              </w:rPr>
              <w:t xml:space="preserve"> (tipo) de ocupação</w:t>
            </w:r>
            <w:r w:rsidR="007C1965">
              <w:rPr>
                <w:rFonts w:asciiTheme="majorHAnsi" w:eastAsia="Times New Roman" w:hAnsiTheme="majorHAnsi" w:cstheme="majorHAnsi"/>
                <w:szCs w:val="24"/>
                <w:lang w:val="pt-PT"/>
              </w:rPr>
              <w:t>.</w:t>
            </w:r>
          </w:p>
        </w:tc>
      </w:tr>
    </w:tbl>
    <w:p w:rsidR="003F2780" w:rsidRPr="00FA3E21" w:rsidRDefault="003F2780">
      <w:pPr>
        <w:rPr>
          <w:lang w:val="pt-PT"/>
        </w:rPr>
      </w:pPr>
    </w:p>
    <w:tbl>
      <w:tblPr>
        <w:tblStyle w:val="a5"/>
        <w:tblW w:w="9043" w:type="dxa"/>
        <w:tblLayout w:type="fixed"/>
        <w:tblLook w:val="0400" w:firstRow="0" w:lastRow="0" w:firstColumn="0" w:lastColumn="0" w:noHBand="0" w:noVBand="1"/>
      </w:tblPr>
      <w:tblGrid>
        <w:gridCol w:w="3019"/>
        <w:gridCol w:w="6024"/>
      </w:tblGrid>
      <w:tr w:rsidR="003F2780">
        <w:trPr>
          <w:trHeight w:val="290"/>
        </w:trPr>
        <w:tc>
          <w:tcPr>
            <w:tcW w:w="9043" w:type="dxa"/>
            <w:gridSpan w:val="2"/>
            <w:tcBorders>
              <w:top w:val="nil"/>
              <w:left w:val="nil"/>
              <w:bottom w:val="nil"/>
              <w:right w:val="nil"/>
            </w:tcBorders>
            <w:shd w:val="clear" w:color="auto" w:fill="auto"/>
            <w:vAlign w:val="bottom"/>
          </w:tcPr>
          <w:p w:rsidR="003F2780" w:rsidRDefault="008F3083">
            <w:pPr>
              <w:pStyle w:val="Heading2"/>
              <w:rPr>
                <w:sz w:val="32"/>
                <w:szCs w:val="32"/>
              </w:rPr>
            </w:pPr>
            <w:r>
              <w:rPr>
                <w:sz w:val="32"/>
                <w:szCs w:val="32"/>
              </w:rPr>
              <w:t>6. Comparability/deviation from international standards</w:t>
            </w:r>
          </w:p>
        </w:tc>
      </w:tr>
      <w:tr w:rsidR="003F2780">
        <w:trPr>
          <w:trHeight w:val="300"/>
        </w:trPr>
        <w:tc>
          <w:tcPr>
            <w:tcW w:w="3019" w:type="dxa"/>
            <w:tcBorders>
              <w:top w:val="nil"/>
              <w:left w:val="nil"/>
              <w:bottom w:val="nil"/>
              <w:right w:val="nil"/>
            </w:tcBorders>
            <w:shd w:val="clear" w:color="auto" w:fill="D9E1F2"/>
            <w:vAlign w:val="bottom"/>
          </w:tcPr>
          <w:p w:rsidR="003F2780" w:rsidRDefault="008F3083">
            <w:pPr>
              <w:spacing w:after="0" w:line="240" w:lineRule="auto"/>
              <w:rPr>
                <w:color w:val="000000"/>
              </w:rPr>
            </w:pPr>
            <w:r>
              <w:rPr>
                <w:color w:val="000000"/>
              </w:rPr>
              <w:t>Concept name</w:t>
            </w:r>
          </w:p>
        </w:tc>
        <w:tc>
          <w:tcPr>
            <w:tcW w:w="6024" w:type="dxa"/>
            <w:tcBorders>
              <w:top w:val="nil"/>
              <w:left w:val="nil"/>
              <w:bottom w:val="single" w:sz="4" w:space="0" w:color="000000"/>
              <w:right w:val="nil"/>
            </w:tcBorders>
            <w:shd w:val="clear" w:color="auto" w:fill="D9E1F2"/>
            <w:vAlign w:val="bottom"/>
          </w:tcPr>
          <w:p w:rsidR="003F2780" w:rsidRDefault="008F3083">
            <w:pPr>
              <w:spacing w:after="0" w:line="240" w:lineRule="auto"/>
              <w:ind w:right="-3475"/>
              <w:rPr>
                <w:color w:val="000000"/>
              </w:rPr>
            </w:pPr>
            <w:r>
              <w:rPr>
                <w:i/>
                <w:color w:val="000000"/>
              </w:rPr>
              <w:t>Insert text, lists, tables, and images.</w:t>
            </w:r>
          </w:p>
        </w:tc>
      </w:tr>
      <w:tr w:rsidR="003F2780" w:rsidRPr="003F688B">
        <w:trPr>
          <w:trHeight w:val="575"/>
        </w:trPr>
        <w:tc>
          <w:tcPr>
            <w:tcW w:w="3019" w:type="dxa"/>
            <w:tcBorders>
              <w:top w:val="single" w:sz="4" w:space="0" w:color="000000"/>
              <w:left w:val="nil"/>
              <w:bottom w:val="single" w:sz="4" w:space="0" w:color="000000"/>
              <w:right w:val="single" w:sz="4" w:space="0" w:color="000000"/>
            </w:tcBorders>
            <w:shd w:val="clear" w:color="auto" w:fill="E7E6E6"/>
          </w:tcPr>
          <w:p w:rsidR="003F2780" w:rsidRDefault="008F3083">
            <w:pPr>
              <w:spacing w:after="0" w:line="240" w:lineRule="auto"/>
              <w:rPr>
                <w:color w:val="000000"/>
              </w:rPr>
            </w:pPr>
            <w:r>
              <w:t>6. Comparability/deviation from international standards</w:t>
            </w:r>
          </w:p>
        </w:tc>
        <w:tc>
          <w:tcPr>
            <w:tcW w:w="6024" w:type="dxa"/>
            <w:tcBorders>
              <w:top w:val="single" w:sz="4" w:space="0" w:color="000000"/>
              <w:left w:val="nil"/>
              <w:bottom w:val="single" w:sz="4" w:space="0" w:color="000000"/>
              <w:right w:val="single" w:sz="4" w:space="0" w:color="000000"/>
            </w:tcBorders>
            <w:shd w:val="clear" w:color="auto" w:fill="auto"/>
          </w:tcPr>
          <w:p w:rsidR="003F2780" w:rsidRPr="007C1965" w:rsidRDefault="008F3083">
            <w:pPr>
              <w:jc w:val="both"/>
              <w:rPr>
                <w:rFonts w:asciiTheme="majorHAnsi" w:eastAsia="Times New Roman" w:hAnsiTheme="majorHAnsi" w:cstheme="majorHAnsi"/>
                <w:sz w:val="24"/>
                <w:szCs w:val="24"/>
                <w:lang w:val="pt-PT"/>
              </w:rPr>
            </w:pPr>
            <w:bookmarkStart w:id="9" w:name="_4d34og8" w:colFirst="0" w:colLast="0"/>
            <w:bookmarkEnd w:id="9"/>
            <w:r w:rsidRPr="007C1965">
              <w:rPr>
                <w:rFonts w:asciiTheme="majorHAnsi" w:eastAsia="Times New Roman" w:hAnsiTheme="majorHAnsi" w:cstheme="majorHAnsi"/>
                <w:szCs w:val="24"/>
                <w:lang w:val="pt-PT"/>
              </w:rPr>
              <w:t>Este indicador não pode ser comparado com os outros países, pois a composição da cesta assim como o custo de aquisição da mesma, varia de país para país.</w:t>
            </w:r>
          </w:p>
        </w:tc>
      </w:tr>
    </w:tbl>
    <w:p w:rsidR="003F2780" w:rsidRPr="00FA3E21" w:rsidRDefault="003F2780">
      <w:pPr>
        <w:rPr>
          <w:lang w:val="pt-PT"/>
        </w:rPr>
      </w:pPr>
    </w:p>
    <w:tbl>
      <w:tblPr>
        <w:tblStyle w:val="a6"/>
        <w:tblW w:w="5000" w:type="pct"/>
        <w:tblLook w:val="0400" w:firstRow="0" w:lastRow="0" w:firstColumn="0" w:lastColumn="0" w:noHBand="0" w:noVBand="1"/>
      </w:tblPr>
      <w:tblGrid>
        <w:gridCol w:w="1145"/>
        <w:gridCol w:w="8215"/>
      </w:tblGrid>
      <w:tr w:rsidR="003F2780" w:rsidTr="006E1907">
        <w:trPr>
          <w:trHeight w:val="290"/>
        </w:trPr>
        <w:tc>
          <w:tcPr>
            <w:tcW w:w="5000" w:type="pct"/>
            <w:gridSpan w:val="2"/>
            <w:tcBorders>
              <w:top w:val="nil"/>
              <w:left w:val="nil"/>
              <w:bottom w:val="nil"/>
              <w:right w:val="nil"/>
            </w:tcBorders>
            <w:shd w:val="clear" w:color="auto" w:fill="auto"/>
            <w:vAlign w:val="bottom"/>
          </w:tcPr>
          <w:p w:rsidR="003F2780" w:rsidRDefault="008F3083">
            <w:pPr>
              <w:pStyle w:val="Heading2"/>
              <w:rPr>
                <w:sz w:val="32"/>
                <w:szCs w:val="32"/>
              </w:rPr>
            </w:pPr>
            <w:r>
              <w:rPr>
                <w:sz w:val="32"/>
                <w:szCs w:val="32"/>
              </w:rPr>
              <w:t>7. References and Documentation</w:t>
            </w:r>
          </w:p>
        </w:tc>
      </w:tr>
      <w:tr w:rsidR="003F2780" w:rsidTr="006E1907">
        <w:trPr>
          <w:trHeight w:val="300"/>
        </w:trPr>
        <w:tc>
          <w:tcPr>
            <w:tcW w:w="1587" w:type="pct"/>
            <w:tcBorders>
              <w:top w:val="nil"/>
              <w:left w:val="nil"/>
              <w:bottom w:val="nil"/>
              <w:right w:val="nil"/>
            </w:tcBorders>
            <w:shd w:val="clear" w:color="auto" w:fill="D9E1F2"/>
            <w:vAlign w:val="bottom"/>
          </w:tcPr>
          <w:p w:rsidR="003F2780" w:rsidRDefault="008F3083">
            <w:pPr>
              <w:spacing w:after="0" w:line="240" w:lineRule="auto"/>
              <w:rPr>
                <w:color w:val="000000"/>
              </w:rPr>
            </w:pPr>
            <w:r>
              <w:rPr>
                <w:color w:val="000000"/>
              </w:rPr>
              <w:t>Concept name</w:t>
            </w:r>
          </w:p>
        </w:tc>
        <w:tc>
          <w:tcPr>
            <w:tcW w:w="3413" w:type="pct"/>
            <w:tcBorders>
              <w:top w:val="nil"/>
              <w:left w:val="nil"/>
              <w:bottom w:val="single" w:sz="4" w:space="0" w:color="000000"/>
              <w:right w:val="nil"/>
            </w:tcBorders>
            <w:shd w:val="clear" w:color="auto" w:fill="D9E1F2"/>
            <w:vAlign w:val="bottom"/>
          </w:tcPr>
          <w:p w:rsidR="003F2780" w:rsidRDefault="008F3083">
            <w:pPr>
              <w:spacing w:after="0" w:line="240" w:lineRule="auto"/>
              <w:ind w:right="-3475"/>
              <w:rPr>
                <w:color w:val="000000"/>
              </w:rPr>
            </w:pPr>
            <w:r>
              <w:rPr>
                <w:i/>
                <w:color w:val="000000"/>
              </w:rPr>
              <w:t>Insert text, lists, tables, and images.</w:t>
            </w:r>
          </w:p>
        </w:tc>
      </w:tr>
      <w:tr w:rsidR="003F2780" w:rsidRPr="003F688B" w:rsidTr="006E1907">
        <w:trPr>
          <w:trHeight w:val="575"/>
        </w:trPr>
        <w:tc>
          <w:tcPr>
            <w:tcW w:w="1587" w:type="pct"/>
            <w:tcBorders>
              <w:top w:val="single" w:sz="4" w:space="0" w:color="000000"/>
              <w:left w:val="nil"/>
              <w:bottom w:val="single" w:sz="4" w:space="0" w:color="000000"/>
              <w:right w:val="single" w:sz="4" w:space="0" w:color="000000"/>
            </w:tcBorders>
            <w:shd w:val="clear" w:color="auto" w:fill="E7E6E6"/>
          </w:tcPr>
          <w:p w:rsidR="003F2780" w:rsidRDefault="008F3083">
            <w:pPr>
              <w:spacing w:after="0" w:line="240" w:lineRule="auto"/>
              <w:rPr>
                <w:color w:val="000000"/>
              </w:rPr>
            </w:pPr>
            <w:r>
              <w:rPr>
                <w:color w:val="000000"/>
              </w:rPr>
              <w:t>7. References and Documentation</w:t>
            </w:r>
          </w:p>
        </w:tc>
        <w:tc>
          <w:tcPr>
            <w:tcW w:w="3413" w:type="pct"/>
            <w:tcBorders>
              <w:top w:val="single" w:sz="4" w:space="0" w:color="000000"/>
              <w:left w:val="nil"/>
              <w:bottom w:val="single" w:sz="4" w:space="0" w:color="000000"/>
              <w:right w:val="single" w:sz="4" w:space="0" w:color="000000"/>
            </w:tcBorders>
            <w:shd w:val="clear" w:color="auto" w:fill="auto"/>
          </w:tcPr>
          <w:p w:rsidR="003F2780" w:rsidRPr="007C1965" w:rsidRDefault="008F3083">
            <w:pPr>
              <w:numPr>
                <w:ilvl w:val="0"/>
                <w:numId w:val="2"/>
              </w:numPr>
              <w:pBdr>
                <w:top w:val="nil"/>
                <w:left w:val="nil"/>
                <w:bottom w:val="nil"/>
                <w:right w:val="nil"/>
                <w:between w:val="nil"/>
              </w:pBdr>
              <w:spacing w:after="0" w:line="276" w:lineRule="auto"/>
              <w:jc w:val="both"/>
              <w:rPr>
                <w:rFonts w:asciiTheme="majorHAnsi" w:hAnsiTheme="majorHAnsi" w:cstheme="majorHAnsi"/>
                <w:color w:val="000000"/>
                <w:lang w:val="pt-PT"/>
              </w:rPr>
            </w:pPr>
            <w:r w:rsidRPr="007C1965">
              <w:rPr>
                <w:rFonts w:asciiTheme="majorHAnsi" w:eastAsia="Times New Roman" w:hAnsiTheme="majorHAnsi" w:cstheme="majorHAnsi"/>
                <w:color w:val="000000"/>
                <w:lang w:val="pt-PT"/>
              </w:rPr>
              <w:t xml:space="preserve">DEEF (2016). Pobreza e Bem-Estar em Moçambique: Quarta Avaliação Nacional. Maputo: Ministério da Economia e Finanças. Disponível em </w:t>
            </w:r>
            <w:hyperlink r:id="rId10">
              <w:r w:rsidRPr="007C1965">
                <w:rPr>
                  <w:rFonts w:asciiTheme="majorHAnsi" w:eastAsia="Times New Roman" w:hAnsiTheme="majorHAnsi" w:cstheme="majorHAnsi"/>
                  <w:color w:val="0563C1"/>
                  <w:u w:val="single"/>
                  <w:lang w:val="pt-PT"/>
                </w:rPr>
                <w:t>https://www.wider.unu.edu/sites/default/files/Final_QUARTA%20AVALIA%C3%87AO%20NACIONAL%20DA%20POBREZA_2016-10-26_2.pdf</w:t>
              </w:r>
            </w:hyperlink>
            <w:r w:rsidRPr="007C1965">
              <w:rPr>
                <w:rFonts w:asciiTheme="majorHAnsi" w:eastAsia="Times New Roman" w:hAnsiTheme="majorHAnsi" w:cstheme="majorHAnsi"/>
                <w:color w:val="000000"/>
                <w:lang w:val="pt-PT"/>
              </w:rPr>
              <w:t>;</w:t>
            </w:r>
          </w:p>
          <w:p w:rsidR="003F2780" w:rsidRPr="007C1965" w:rsidRDefault="008F3083">
            <w:pPr>
              <w:numPr>
                <w:ilvl w:val="0"/>
                <w:numId w:val="2"/>
              </w:numPr>
              <w:pBdr>
                <w:top w:val="nil"/>
                <w:left w:val="nil"/>
                <w:bottom w:val="nil"/>
                <w:right w:val="nil"/>
                <w:between w:val="nil"/>
              </w:pBdr>
              <w:spacing w:after="0" w:line="276" w:lineRule="auto"/>
              <w:jc w:val="both"/>
              <w:rPr>
                <w:rFonts w:asciiTheme="majorHAnsi" w:hAnsiTheme="majorHAnsi" w:cstheme="majorHAnsi"/>
                <w:color w:val="000000"/>
                <w:lang w:val="pt-PT"/>
              </w:rPr>
            </w:pPr>
            <w:r w:rsidRPr="007C1965">
              <w:rPr>
                <w:rFonts w:asciiTheme="majorHAnsi" w:eastAsia="Times New Roman" w:hAnsiTheme="majorHAnsi" w:cstheme="majorHAnsi"/>
                <w:color w:val="000000"/>
              </w:rPr>
              <w:t xml:space="preserve">DNEAP (2010). </w:t>
            </w:r>
            <w:r w:rsidRPr="007C1965">
              <w:rPr>
                <w:rFonts w:asciiTheme="majorHAnsi" w:eastAsia="Times New Roman" w:hAnsiTheme="majorHAnsi" w:cstheme="majorHAnsi"/>
                <w:i/>
                <w:color w:val="000000"/>
              </w:rPr>
              <w:t>Poverty and Wellbeing in Mozambique</w:t>
            </w:r>
            <w:r w:rsidRPr="007C1965">
              <w:rPr>
                <w:rFonts w:asciiTheme="majorHAnsi" w:eastAsia="Times New Roman" w:hAnsiTheme="majorHAnsi" w:cstheme="majorHAnsi"/>
                <w:color w:val="000000"/>
              </w:rPr>
              <w:t xml:space="preserve">: </w:t>
            </w:r>
            <w:r w:rsidRPr="007C1965">
              <w:rPr>
                <w:rFonts w:asciiTheme="majorHAnsi" w:eastAsia="Times New Roman" w:hAnsiTheme="majorHAnsi" w:cstheme="majorHAnsi"/>
                <w:i/>
                <w:color w:val="000000"/>
              </w:rPr>
              <w:t>Third National Poverty Assessment</w:t>
            </w:r>
            <w:r w:rsidRPr="007C1965">
              <w:rPr>
                <w:rFonts w:asciiTheme="majorHAnsi" w:eastAsia="Times New Roman" w:hAnsiTheme="majorHAnsi" w:cstheme="majorHAnsi"/>
                <w:color w:val="000000"/>
              </w:rPr>
              <w:t xml:space="preserve">. </w:t>
            </w:r>
            <w:r w:rsidRPr="007C1965">
              <w:rPr>
                <w:rFonts w:asciiTheme="majorHAnsi" w:eastAsia="Times New Roman" w:hAnsiTheme="majorHAnsi" w:cstheme="majorHAnsi"/>
                <w:color w:val="000000"/>
                <w:lang w:val="pt-PT"/>
              </w:rPr>
              <w:t xml:space="preserve">Maputo: Ministério da Planificação e Desenvolvimento. Disponível em </w:t>
            </w:r>
            <w:hyperlink r:id="rId11">
              <w:r w:rsidRPr="007C1965">
                <w:rPr>
                  <w:rFonts w:asciiTheme="majorHAnsi" w:eastAsia="Times New Roman" w:hAnsiTheme="majorHAnsi" w:cstheme="majorHAnsi"/>
                  <w:color w:val="0563C1"/>
                  <w:u w:val="single"/>
                  <w:lang w:val="pt-PT"/>
                </w:rPr>
                <w:t>https://www.preventionweb.net/files/16411_thirdnationalpovertyassessment.pdf</w:t>
              </w:r>
            </w:hyperlink>
            <w:r w:rsidRPr="007C1965">
              <w:rPr>
                <w:rFonts w:asciiTheme="majorHAnsi" w:eastAsia="Times New Roman" w:hAnsiTheme="majorHAnsi" w:cstheme="majorHAnsi"/>
                <w:color w:val="000000"/>
                <w:lang w:val="pt-PT"/>
              </w:rPr>
              <w:t xml:space="preserve">; </w:t>
            </w:r>
          </w:p>
          <w:p w:rsidR="003F2780" w:rsidRPr="007C1965" w:rsidRDefault="008F3083">
            <w:pPr>
              <w:numPr>
                <w:ilvl w:val="0"/>
                <w:numId w:val="2"/>
              </w:numPr>
              <w:pBdr>
                <w:top w:val="nil"/>
                <w:left w:val="nil"/>
                <w:bottom w:val="nil"/>
                <w:right w:val="nil"/>
                <w:between w:val="nil"/>
              </w:pBdr>
              <w:spacing w:after="0" w:line="276" w:lineRule="auto"/>
              <w:jc w:val="both"/>
              <w:rPr>
                <w:rFonts w:asciiTheme="majorHAnsi" w:hAnsiTheme="majorHAnsi" w:cstheme="majorHAnsi"/>
                <w:color w:val="000000"/>
                <w:lang w:val="pt-PT"/>
              </w:rPr>
            </w:pPr>
            <w:r w:rsidRPr="007C1965">
              <w:rPr>
                <w:rFonts w:asciiTheme="majorHAnsi" w:eastAsia="Times New Roman" w:hAnsiTheme="majorHAnsi" w:cstheme="majorHAnsi"/>
                <w:color w:val="000000"/>
              </w:rPr>
              <w:t xml:space="preserve">DNPO (1998). </w:t>
            </w:r>
            <w:r w:rsidRPr="007C1965">
              <w:rPr>
                <w:rFonts w:asciiTheme="majorHAnsi" w:eastAsia="Times New Roman" w:hAnsiTheme="majorHAnsi" w:cstheme="majorHAnsi"/>
                <w:i/>
                <w:color w:val="000000"/>
              </w:rPr>
              <w:t>Poverty and Well-Being in Mozambique: The First National Assessment</w:t>
            </w:r>
            <w:r w:rsidRPr="007C1965">
              <w:rPr>
                <w:rFonts w:asciiTheme="majorHAnsi" w:eastAsia="Times New Roman" w:hAnsiTheme="majorHAnsi" w:cstheme="majorHAnsi"/>
                <w:color w:val="000000"/>
              </w:rPr>
              <w:t xml:space="preserve">. </w:t>
            </w:r>
            <w:r w:rsidRPr="007C1965">
              <w:rPr>
                <w:rFonts w:asciiTheme="majorHAnsi" w:eastAsia="Times New Roman" w:hAnsiTheme="majorHAnsi" w:cstheme="majorHAnsi"/>
                <w:color w:val="000000"/>
                <w:lang w:val="pt-PT"/>
              </w:rPr>
              <w:t xml:space="preserve">Maputo: </w:t>
            </w:r>
            <w:r w:rsidRPr="007C1965">
              <w:rPr>
                <w:rFonts w:asciiTheme="majorHAnsi" w:eastAsia="Times New Roman" w:hAnsiTheme="majorHAnsi" w:cstheme="majorHAnsi"/>
                <w:i/>
                <w:color w:val="000000"/>
                <w:lang w:val="pt-PT"/>
              </w:rPr>
              <w:t>The First National Assessment</w:t>
            </w:r>
            <w:r w:rsidRPr="007C1965">
              <w:rPr>
                <w:rFonts w:asciiTheme="majorHAnsi" w:eastAsia="Times New Roman" w:hAnsiTheme="majorHAnsi" w:cstheme="majorHAnsi"/>
                <w:color w:val="000000"/>
                <w:lang w:val="pt-PT"/>
              </w:rPr>
              <w:t>. Maputo: Ministério do Plano e Finanças;</w:t>
            </w:r>
          </w:p>
          <w:p w:rsidR="003F2780" w:rsidRPr="007C1965" w:rsidRDefault="008F3083">
            <w:pPr>
              <w:numPr>
                <w:ilvl w:val="0"/>
                <w:numId w:val="2"/>
              </w:numPr>
              <w:pBdr>
                <w:top w:val="nil"/>
                <w:left w:val="nil"/>
                <w:bottom w:val="nil"/>
                <w:right w:val="nil"/>
                <w:between w:val="nil"/>
              </w:pBdr>
              <w:spacing w:after="0" w:line="276" w:lineRule="auto"/>
              <w:jc w:val="both"/>
              <w:rPr>
                <w:rFonts w:asciiTheme="majorHAnsi" w:hAnsiTheme="majorHAnsi" w:cstheme="majorHAnsi"/>
                <w:color w:val="000000"/>
              </w:rPr>
            </w:pPr>
            <w:r w:rsidRPr="007C1965">
              <w:rPr>
                <w:rFonts w:asciiTheme="majorHAnsi" w:eastAsia="Times New Roman" w:hAnsiTheme="majorHAnsi" w:cstheme="majorHAnsi"/>
                <w:color w:val="000000"/>
              </w:rPr>
              <w:t xml:space="preserve">DNPO (2004). </w:t>
            </w:r>
            <w:r w:rsidRPr="007C1965">
              <w:rPr>
                <w:rFonts w:asciiTheme="majorHAnsi" w:eastAsia="Times New Roman" w:hAnsiTheme="majorHAnsi" w:cstheme="majorHAnsi"/>
                <w:i/>
                <w:color w:val="000000"/>
              </w:rPr>
              <w:t>Poverty and Well-Being in Mozambique</w:t>
            </w:r>
            <w:r w:rsidRPr="007C1965">
              <w:rPr>
                <w:rFonts w:asciiTheme="majorHAnsi" w:eastAsia="Times New Roman" w:hAnsiTheme="majorHAnsi" w:cstheme="majorHAnsi"/>
                <w:color w:val="000000"/>
              </w:rPr>
              <w:t xml:space="preserve">: </w:t>
            </w:r>
            <w:r w:rsidRPr="007C1965">
              <w:rPr>
                <w:rFonts w:asciiTheme="majorHAnsi" w:eastAsia="Times New Roman" w:hAnsiTheme="majorHAnsi" w:cstheme="majorHAnsi"/>
                <w:i/>
                <w:color w:val="000000"/>
              </w:rPr>
              <w:t>The Second National Assessment</w:t>
            </w:r>
            <w:r w:rsidRPr="007C1965">
              <w:rPr>
                <w:rFonts w:asciiTheme="majorHAnsi" w:eastAsia="Times New Roman" w:hAnsiTheme="majorHAnsi" w:cstheme="majorHAnsi"/>
                <w:color w:val="000000"/>
              </w:rPr>
              <w:t xml:space="preserve">. Maputo: Ministério da Planificação e Desenvolvimento; </w:t>
            </w:r>
          </w:p>
          <w:p w:rsidR="003F2780" w:rsidRPr="007C1965" w:rsidRDefault="008F3083">
            <w:pPr>
              <w:numPr>
                <w:ilvl w:val="0"/>
                <w:numId w:val="2"/>
              </w:numPr>
              <w:pBdr>
                <w:top w:val="nil"/>
                <w:left w:val="nil"/>
                <w:bottom w:val="nil"/>
                <w:right w:val="nil"/>
                <w:between w:val="nil"/>
              </w:pBdr>
              <w:spacing w:after="0" w:line="276" w:lineRule="auto"/>
              <w:jc w:val="both"/>
              <w:rPr>
                <w:rFonts w:asciiTheme="majorHAnsi" w:hAnsiTheme="majorHAnsi" w:cstheme="majorHAnsi"/>
                <w:color w:val="000000"/>
              </w:rPr>
            </w:pPr>
            <w:r w:rsidRPr="007C1965">
              <w:rPr>
                <w:rFonts w:asciiTheme="majorHAnsi" w:eastAsia="Times New Roman" w:hAnsiTheme="majorHAnsi" w:cstheme="majorHAnsi"/>
                <w:color w:val="000000"/>
                <w:lang w:val="pt-PT"/>
              </w:rPr>
              <w:t xml:space="preserve">INE (2004). Relatório Final do Inquérito aos Agregados Familiares sobre o Orçamento Familiar, 2002/3. </w:t>
            </w:r>
            <w:r w:rsidRPr="007C1965">
              <w:rPr>
                <w:rFonts w:asciiTheme="majorHAnsi" w:eastAsia="Times New Roman" w:hAnsiTheme="majorHAnsi" w:cstheme="majorHAnsi"/>
                <w:color w:val="000000"/>
              </w:rPr>
              <w:t xml:space="preserve">Maputo: Instituto Nacional de </w:t>
            </w:r>
            <w:r w:rsidR="00F0033A">
              <w:rPr>
                <w:rFonts w:asciiTheme="majorHAnsi" w:eastAsia="Times New Roman" w:hAnsiTheme="majorHAnsi" w:cstheme="majorHAnsi"/>
                <w:color w:val="000000"/>
              </w:rPr>
              <w:t>Estatística</w:t>
            </w:r>
            <w:r w:rsidR="00F0033A">
              <w:rPr>
                <w:rFonts w:asciiTheme="majorHAnsi" w:eastAsia="Times New Roman" w:hAnsiTheme="majorHAnsi" w:cstheme="majorHAnsi"/>
                <w:color w:val="000000"/>
                <w:lang w:val="pt-PT"/>
              </w:rPr>
              <w:t>;</w:t>
            </w:r>
            <w:r w:rsidRPr="007C1965">
              <w:rPr>
                <w:rFonts w:asciiTheme="majorHAnsi" w:eastAsia="Times New Roman" w:hAnsiTheme="majorHAnsi" w:cstheme="majorHAnsi"/>
                <w:color w:val="000000"/>
              </w:rPr>
              <w:t xml:space="preserve"> </w:t>
            </w:r>
          </w:p>
          <w:p w:rsidR="003F2780" w:rsidRPr="007C1965" w:rsidRDefault="008F3083">
            <w:pPr>
              <w:numPr>
                <w:ilvl w:val="0"/>
                <w:numId w:val="2"/>
              </w:numPr>
              <w:pBdr>
                <w:top w:val="nil"/>
                <w:left w:val="nil"/>
                <w:bottom w:val="nil"/>
                <w:right w:val="nil"/>
                <w:between w:val="nil"/>
              </w:pBdr>
              <w:spacing w:after="0" w:line="276" w:lineRule="auto"/>
              <w:jc w:val="both"/>
              <w:rPr>
                <w:rFonts w:asciiTheme="majorHAnsi" w:hAnsiTheme="majorHAnsi" w:cstheme="majorHAnsi"/>
                <w:color w:val="000000"/>
                <w:lang w:val="pt-PT"/>
              </w:rPr>
            </w:pPr>
            <w:r w:rsidRPr="007C1965">
              <w:rPr>
                <w:rFonts w:asciiTheme="majorHAnsi" w:eastAsia="Times New Roman" w:hAnsiTheme="majorHAnsi" w:cstheme="majorHAnsi"/>
                <w:color w:val="000000"/>
                <w:lang w:val="pt-PT"/>
              </w:rPr>
              <w:t xml:space="preserve">INE (2010). Relatório Final do Inquérito ao Orçamento Familiar – IOF 2008/9. Maputo: Instituto Nacional de Estatística. Disponível em </w:t>
            </w:r>
            <w:hyperlink r:id="rId12">
              <w:r w:rsidRPr="007C1965">
                <w:rPr>
                  <w:rFonts w:asciiTheme="majorHAnsi" w:eastAsia="Times New Roman" w:hAnsiTheme="majorHAnsi" w:cstheme="majorHAnsi"/>
                  <w:color w:val="0563C1"/>
                  <w:u w:val="single"/>
                  <w:lang w:val="pt-PT"/>
                </w:rPr>
                <w:t>http://www.ine.gov.mz/operacoes-estatisticas/inqueritos/inquerito-sobre-orcamento-familiar/relatorio-final-do-inquerito-ao-orcamento-familiar-iof-200809.pdf</w:t>
              </w:r>
            </w:hyperlink>
            <w:r w:rsidRPr="007C1965">
              <w:rPr>
                <w:rFonts w:asciiTheme="majorHAnsi" w:eastAsia="Times New Roman" w:hAnsiTheme="majorHAnsi" w:cstheme="majorHAnsi"/>
                <w:color w:val="000000"/>
                <w:lang w:val="pt-PT"/>
              </w:rPr>
              <w:t xml:space="preserve">; </w:t>
            </w:r>
          </w:p>
          <w:p w:rsidR="003F2780" w:rsidRPr="00FA3E21" w:rsidRDefault="008F3083">
            <w:pPr>
              <w:numPr>
                <w:ilvl w:val="0"/>
                <w:numId w:val="2"/>
              </w:numPr>
              <w:pBdr>
                <w:top w:val="nil"/>
                <w:left w:val="nil"/>
                <w:bottom w:val="nil"/>
                <w:right w:val="nil"/>
                <w:between w:val="nil"/>
              </w:pBdr>
              <w:spacing w:after="200" w:line="276" w:lineRule="auto"/>
              <w:jc w:val="both"/>
              <w:rPr>
                <w:color w:val="000000"/>
                <w:sz w:val="24"/>
                <w:szCs w:val="24"/>
                <w:lang w:val="pt-PT"/>
              </w:rPr>
            </w:pPr>
            <w:r w:rsidRPr="007C1965">
              <w:rPr>
                <w:rFonts w:asciiTheme="majorHAnsi" w:eastAsia="Times New Roman" w:hAnsiTheme="majorHAnsi" w:cstheme="majorHAnsi"/>
                <w:color w:val="000000"/>
                <w:lang w:val="pt-PT"/>
              </w:rPr>
              <w:t xml:space="preserve">INE (2015). Relatório Final do Inquérito ao Orçamento Familiar – IOF 2014/15. Maputo: Instituto Nacional de Estatística; disponível em </w:t>
            </w:r>
            <w:hyperlink r:id="rId13">
              <w:r w:rsidRPr="007C1965">
                <w:rPr>
                  <w:rFonts w:asciiTheme="majorHAnsi" w:eastAsia="Times New Roman" w:hAnsiTheme="majorHAnsi" w:cstheme="majorHAnsi"/>
                  <w:color w:val="0563C1"/>
                  <w:u w:val="single"/>
                  <w:lang w:val="pt-PT"/>
                </w:rPr>
                <w:t>http://www.ine.gov.mz/operacoes-estatisticas/inqueritos/inquerito-sobre-orcamento-familiar/relatorio-final-do-inquerito-ao-orcamento-familiar-iof-2014-15</w:t>
              </w:r>
            </w:hyperlink>
            <w:r w:rsidR="007C1965">
              <w:rPr>
                <w:rFonts w:asciiTheme="majorHAnsi" w:eastAsia="Times New Roman" w:hAnsiTheme="majorHAnsi" w:cstheme="majorHAnsi"/>
                <w:color w:val="000000"/>
                <w:lang w:val="pt-PT"/>
              </w:rPr>
              <w:t>.</w:t>
            </w:r>
          </w:p>
        </w:tc>
      </w:tr>
    </w:tbl>
    <w:p w:rsidR="003F2780" w:rsidRPr="00FA3E21" w:rsidRDefault="003F2780">
      <w:pPr>
        <w:pStyle w:val="Heading1"/>
        <w:rPr>
          <w:color w:val="1C75BC"/>
          <w:sz w:val="36"/>
          <w:szCs w:val="36"/>
          <w:lang w:val="pt-PT"/>
        </w:rPr>
      </w:pPr>
      <w:bookmarkStart w:id="10" w:name="17dp8vu" w:colFirst="0" w:colLast="0"/>
      <w:bookmarkStart w:id="11" w:name="3rdcrjn" w:colFirst="0" w:colLast="0"/>
      <w:bookmarkStart w:id="12" w:name="_2s8eyo1" w:colFirst="0" w:colLast="0"/>
      <w:bookmarkEnd w:id="10"/>
      <w:bookmarkEnd w:id="11"/>
      <w:bookmarkEnd w:id="12"/>
    </w:p>
    <w:p w:rsidR="003F2780" w:rsidRDefault="008F3083">
      <w:pPr>
        <w:pStyle w:val="Heading1"/>
        <w:rPr>
          <w:color w:val="1C75BC"/>
          <w:sz w:val="36"/>
          <w:szCs w:val="36"/>
        </w:rPr>
      </w:pPr>
      <w:r>
        <w:rPr>
          <w:color w:val="1C75BC"/>
          <w:sz w:val="36"/>
          <w:szCs w:val="36"/>
        </w:rPr>
        <w:t>Appendices</w:t>
      </w:r>
    </w:p>
    <w:p w:rsidR="003F2780" w:rsidRDefault="008F3083">
      <w:pPr>
        <w:pBdr>
          <w:top w:val="nil"/>
          <w:left w:val="nil"/>
          <w:bottom w:val="nil"/>
          <w:right w:val="nil"/>
          <w:between w:val="nil"/>
        </w:pBdr>
        <w:shd w:val="clear" w:color="auto" w:fill="F5F5F5"/>
        <w:spacing w:after="0" w:line="276" w:lineRule="auto"/>
        <w:rPr>
          <w:color w:val="1C75BC"/>
          <w:sz w:val="28"/>
          <w:szCs w:val="28"/>
        </w:rPr>
      </w:pPr>
      <w:bookmarkStart w:id="13" w:name="_26in1rg" w:colFirst="0" w:colLast="0"/>
      <w:bookmarkEnd w:id="13"/>
      <w:r>
        <w:rPr>
          <w:color w:val="1C75BC"/>
          <w:sz w:val="28"/>
          <w:szCs w:val="28"/>
        </w:rPr>
        <w:t>A. Definitions of Metadata Concepts</w:t>
      </w:r>
    </w:p>
    <w:p w:rsidR="003F2780" w:rsidRDefault="008F3083">
      <w:r>
        <w:rPr>
          <w:b/>
          <w:i/>
        </w:rPr>
        <w:t>0.a. Goal</w:t>
      </w:r>
      <w:r>
        <w:t xml:space="preserve">: </w:t>
      </w:r>
      <w:r>
        <w:rPr>
          <w:color w:val="000000"/>
        </w:rPr>
        <w:t>SDG Goal number and name.</w:t>
      </w:r>
    </w:p>
    <w:p w:rsidR="003F2780" w:rsidRDefault="008F3083">
      <w:r>
        <w:rPr>
          <w:b/>
          <w:i/>
        </w:rPr>
        <w:t xml:space="preserve">0.b. Target: </w:t>
      </w:r>
      <w:r>
        <w:rPr>
          <w:color w:val="000000"/>
        </w:rPr>
        <w:t>SDG Target number and name.</w:t>
      </w:r>
    </w:p>
    <w:p w:rsidR="003F2780" w:rsidRDefault="008F3083">
      <w:r>
        <w:rPr>
          <w:b/>
          <w:i/>
        </w:rPr>
        <w:t>0.c. Indicator</w:t>
      </w:r>
      <w:r>
        <w:t xml:space="preserve">: </w:t>
      </w:r>
      <w:r>
        <w:rPr>
          <w:color w:val="000000"/>
        </w:rPr>
        <w:t>SDG Indicator number and name.</w:t>
      </w:r>
    </w:p>
    <w:p w:rsidR="003F2780" w:rsidRDefault="008F3083">
      <w:pPr>
        <w:rPr>
          <w:b/>
          <w:i/>
        </w:rPr>
      </w:pPr>
      <w:r>
        <w:rPr>
          <w:b/>
          <w:i/>
        </w:rPr>
        <w:t>0.d. Series</w:t>
      </w:r>
      <w:r>
        <w:t>: Description of SDG data series.</w:t>
      </w:r>
      <w:r>
        <w:rPr>
          <w:b/>
          <w:i/>
        </w:rPr>
        <w:tab/>
      </w:r>
    </w:p>
    <w:p w:rsidR="003F2780" w:rsidRDefault="008F3083">
      <w:r>
        <w:rPr>
          <w:b/>
          <w:i/>
        </w:rPr>
        <w:t>0.e. Metadata update</w:t>
      </w:r>
      <w:r>
        <w:t>: The date when this metadata report was last updated.</w:t>
      </w:r>
    </w:p>
    <w:p w:rsidR="003F2780" w:rsidRDefault="008F3083">
      <w:r>
        <w:rPr>
          <w:b/>
          <w:i/>
        </w:rPr>
        <w:t>0.f. Related indicators</w:t>
      </w:r>
      <w:r>
        <w:t>: Linkages with any other Goals and Targets.</w:t>
      </w:r>
    </w:p>
    <w:p w:rsidR="003F2780" w:rsidRDefault="008F3083">
      <w:r>
        <w:rPr>
          <w:b/>
          <w:i/>
        </w:rPr>
        <w:t>0.g. International organisations(s) responsible for global monitoring</w:t>
      </w:r>
      <w:r>
        <w:t>: Global reporting: International organizations (departments/offices) responsible for monitoring this indicator at the global level.  Country reporting: This concept has no national counterpart.</w:t>
      </w:r>
      <w:r>
        <w:rPr>
          <w:b/>
          <w:i/>
        </w:rPr>
        <w:tab/>
      </w:r>
    </w:p>
    <w:p w:rsidR="003F2780" w:rsidRDefault="008F3083">
      <w:r>
        <w:rPr>
          <w:b/>
          <w:i/>
        </w:rPr>
        <w:t>1.a. Organisation</w:t>
      </w:r>
      <w:r>
        <w:t>: Organisation unit information of the contact points for the data or metadata.</w:t>
      </w:r>
    </w:p>
    <w:p w:rsidR="003F2780" w:rsidRDefault="008F3083">
      <w:pPr>
        <w:rPr>
          <w:b/>
          <w:i/>
        </w:rPr>
      </w:pPr>
      <w:r>
        <w:rPr>
          <w:b/>
          <w:i/>
        </w:rPr>
        <w:t>1.d. Contact person function</w:t>
      </w:r>
      <w:r>
        <w:t>: Functional title(s) of the contact points for the data or metadata.</w:t>
      </w:r>
      <w:r>
        <w:rPr>
          <w:b/>
          <w:i/>
        </w:rPr>
        <w:tab/>
      </w:r>
    </w:p>
    <w:p w:rsidR="003F2780" w:rsidRDefault="008F3083">
      <w:r>
        <w:rPr>
          <w:b/>
          <w:i/>
        </w:rPr>
        <w:t>1.e. Contact phone</w:t>
      </w:r>
      <w:r>
        <w:t>: Phone number(s) of the contact points for the data or metadata.</w:t>
      </w:r>
    </w:p>
    <w:p w:rsidR="003F2780" w:rsidRDefault="008F3083">
      <w:pPr>
        <w:pBdr>
          <w:top w:val="nil"/>
          <w:left w:val="nil"/>
          <w:bottom w:val="nil"/>
          <w:right w:val="nil"/>
          <w:between w:val="nil"/>
        </w:pBdr>
        <w:spacing w:after="240" w:line="240" w:lineRule="auto"/>
        <w:rPr>
          <w:color w:val="000000"/>
        </w:rPr>
      </w:pPr>
      <w:r>
        <w:rPr>
          <w:b/>
          <w:i/>
          <w:color w:val="000000"/>
          <w:sz w:val="20"/>
          <w:szCs w:val="20"/>
        </w:rPr>
        <w:t>1.f. Contact mail</w:t>
      </w:r>
      <w:r>
        <w:rPr>
          <w:color w:val="000000"/>
          <w:sz w:val="20"/>
          <w:szCs w:val="20"/>
        </w:rPr>
        <w:t xml:space="preserve">: </w:t>
      </w:r>
      <w:r>
        <w:rPr>
          <w:color w:val="000000"/>
        </w:rPr>
        <w:t>Mailing address(es) of the contact points for the data or metadata.</w:t>
      </w:r>
    </w:p>
    <w:p w:rsidR="003F2780" w:rsidRDefault="008F3083">
      <w:pPr>
        <w:spacing w:after="240"/>
      </w:pPr>
      <w:r>
        <w:rPr>
          <w:b/>
          <w:i/>
        </w:rPr>
        <w:t>1.g. Contact emails</w:t>
      </w:r>
      <w:r>
        <w:t>: E-mail address(es) of the contact points for the data or metadata.</w:t>
      </w:r>
    </w:p>
    <w:p w:rsidR="003F2780" w:rsidRDefault="008F3083">
      <w:r>
        <w:rPr>
          <w:b/>
          <w:i/>
        </w:rPr>
        <w:t>2.a. Definition and concepts</w:t>
      </w:r>
      <w:r>
        <w:t>: Precise definition of the indicator preferably relying on internationally agreed definitions. The indicator definition should be unambiguous and be expressed in universally applicable terms. Precise definition of all different concepts and terms associated with the indicator, also including reference to any associated classifications.</w:t>
      </w:r>
    </w:p>
    <w:p w:rsidR="003F2780" w:rsidRDefault="008F3083">
      <w:r>
        <w:rPr>
          <w:b/>
          <w:i/>
        </w:rPr>
        <w:t>2.b. Unit of measure:</w:t>
      </w:r>
      <w:r>
        <w:t xml:space="preserve"> Description of the unit of measurement (proportion, dollars, number of people, etc.)</w:t>
      </w:r>
    </w:p>
    <w:p w:rsidR="003F2780" w:rsidRDefault="008F3083">
      <w:pPr>
        <w:rPr>
          <w:color w:val="000000"/>
        </w:rPr>
      </w:pPr>
      <w:r>
        <w:rPr>
          <w:b/>
          <w:i/>
        </w:rPr>
        <w:t>2.c. Classifications</w:t>
      </w:r>
      <w:r>
        <w:t xml:space="preserve">: </w:t>
      </w:r>
      <w:r>
        <w:rPr>
          <w:color w:val="000000"/>
        </w:rPr>
        <w:t xml:space="preserve">Describe references to both national and international standards and classification being used. </w:t>
      </w:r>
      <w:r>
        <w:t>[Information to be provided where applicable.]</w:t>
      </w:r>
    </w:p>
    <w:p w:rsidR="003F2780" w:rsidRDefault="008F3083">
      <w:pPr>
        <w:rPr>
          <w:b/>
          <w:i/>
        </w:rPr>
      </w:pPr>
      <w:r>
        <w:rPr>
          <w:b/>
          <w:i/>
        </w:rPr>
        <w:t>3.a. Data sources</w:t>
      </w:r>
      <w:r>
        <w:t>: Description of all actual and recommended sources of data. This description should include, when applicable, any changes of the data source over time, details of denominator (if from a different source) and any other relevant information related to the origin of the source or indicator. Similar details should be given for administrative sources.</w:t>
      </w:r>
      <w:r>
        <w:rPr>
          <w:b/>
          <w:i/>
        </w:rPr>
        <w:tab/>
      </w:r>
    </w:p>
    <w:p w:rsidR="003F2780" w:rsidRDefault="008F3083">
      <w:pPr>
        <w:rPr>
          <w:b/>
          <w:i/>
        </w:rPr>
      </w:pPr>
      <w:r>
        <w:rPr>
          <w:b/>
          <w:i/>
        </w:rPr>
        <w:t>3.b. Data collection method</w:t>
      </w:r>
      <w:r>
        <w:t xml:space="preserve">: Description of all methods used for data collection. This description should include, when applicable, the sample frame used, the questions used to collect the data, the type of interview, the dates/duration of fieldwork, the sample size and the response rate. Some additional information on questionnaire design and testing, interviewer training, methods used to monitor non-response etc. should be provided here. Questionnaires used should be annexed (if very long: via hyperlink). </w:t>
      </w:r>
      <w:r>
        <w:rPr>
          <w:b/>
          <w:i/>
        </w:rPr>
        <w:tab/>
      </w:r>
    </w:p>
    <w:p w:rsidR="003F2780" w:rsidRDefault="008F3083">
      <w:pPr>
        <w:pBdr>
          <w:top w:val="nil"/>
          <w:left w:val="nil"/>
          <w:bottom w:val="nil"/>
          <w:right w:val="nil"/>
          <w:between w:val="nil"/>
        </w:pBdr>
        <w:spacing w:after="240" w:line="240" w:lineRule="auto"/>
        <w:rPr>
          <w:color w:val="000000"/>
        </w:rPr>
      </w:pPr>
      <w:r>
        <w:rPr>
          <w:b/>
          <w:i/>
          <w:color w:val="000000"/>
        </w:rPr>
        <w:t>3.c. Data collection calendar</w:t>
      </w:r>
      <w:r>
        <w:rPr>
          <w:color w:val="000000"/>
          <w:sz w:val="20"/>
          <w:szCs w:val="20"/>
        </w:rPr>
        <w:t xml:space="preserve">:  </w:t>
      </w:r>
      <w:r>
        <w:rPr>
          <w:color w:val="000000"/>
        </w:rPr>
        <w:t>Dates when source collection is next planned.</w:t>
      </w:r>
    </w:p>
    <w:p w:rsidR="003F2780" w:rsidRDefault="008F3083">
      <w:pPr>
        <w:pBdr>
          <w:top w:val="nil"/>
          <w:left w:val="nil"/>
          <w:bottom w:val="nil"/>
          <w:right w:val="nil"/>
          <w:between w:val="nil"/>
        </w:pBdr>
        <w:spacing w:after="240" w:line="240" w:lineRule="auto"/>
        <w:rPr>
          <w:color w:val="000000"/>
        </w:rPr>
      </w:pPr>
      <w:r>
        <w:rPr>
          <w:b/>
          <w:i/>
          <w:color w:val="000000"/>
        </w:rPr>
        <w:t>3.d. Data release calendar</w:t>
      </w:r>
      <w:r>
        <w:rPr>
          <w:color w:val="000000"/>
        </w:rPr>
        <w:t>:</w:t>
      </w:r>
      <w:r>
        <w:rPr>
          <w:color w:val="000000"/>
          <w:sz w:val="20"/>
          <w:szCs w:val="20"/>
        </w:rPr>
        <w:t xml:space="preserve"> </w:t>
      </w:r>
      <w:r>
        <w:rPr>
          <w:color w:val="000000"/>
        </w:rPr>
        <w:t>Expected dates of release of new data for this indicator, including the year (or, ideally, the quarter/month when the next data point associated with the indicator will become available).</w:t>
      </w:r>
    </w:p>
    <w:p w:rsidR="003F2780" w:rsidRDefault="008F3083">
      <w:pPr>
        <w:spacing w:after="240"/>
        <w:rPr>
          <w:b/>
          <w:i/>
        </w:rPr>
      </w:pPr>
      <w:r>
        <w:rPr>
          <w:b/>
          <w:i/>
        </w:rPr>
        <w:t>3.e. Data providers</w:t>
      </w:r>
      <w:r>
        <w:t>: Identification of national and/or international data provider(s), specifying the organization(s) responsible for producing the data.</w:t>
      </w:r>
      <w:r>
        <w:rPr>
          <w:b/>
          <w:i/>
        </w:rPr>
        <w:tab/>
      </w:r>
    </w:p>
    <w:p w:rsidR="003F2780" w:rsidRDefault="008F3083">
      <w:r>
        <w:rPr>
          <w:b/>
          <w:i/>
        </w:rPr>
        <w:t>3.f. Data compilers</w:t>
      </w:r>
      <w:r>
        <w:t>: Organization(s) responsible for compilation of this indicator either at national or global level.</w:t>
      </w:r>
    </w:p>
    <w:p w:rsidR="003F2780" w:rsidRDefault="008F3083">
      <w:pPr>
        <w:rPr>
          <w:b/>
          <w:i/>
        </w:rPr>
      </w:pPr>
      <w:r>
        <w:rPr>
          <w:b/>
          <w:i/>
        </w:rPr>
        <w:t>3.g. Institutional mandate</w:t>
      </w:r>
      <w:r>
        <w:t>: Description of the set of rules or other formal set of instructions assigning responsibility as well as the authority to an organisation for the collection, processing, and dissemination of statistics for this indicator.</w:t>
      </w:r>
      <w:r>
        <w:rPr>
          <w:b/>
          <w:i/>
        </w:rPr>
        <w:tab/>
      </w:r>
    </w:p>
    <w:p w:rsidR="003F2780" w:rsidRDefault="008F3083">
      <w:pPr>
        <w:pBdr>
          <w:top w:val="nil"/>
          <w:left w:val="nil"/>
          <w:bottom w:val="nil"/>
          <w:right w:val="nil"/>
          <w:between w:val="nil"/>
        </w:pBdr>
        <w:spacing w:after="0" w:line="240" w:lineRule="auto"/>
        <w:rPr>
          <w:color w:val="000000"/>
        </w:rPr>
      </w:pPr>
      <w:r>
        <w:rPr>
          <w:b/>
          <w:i/>
          <w:color w:val="000000"/>
        </w:rPr>
        <w:t>4.a. Rationale</w:t>
      </w:r>
      <w:r>
        <w:rPr>
          <w:color w:val="000000"/>
        </w:rPr>
        <w:t>:</w:t>
      </w:r>
      <w:r>
        <w:rPr>
          <w:color w:val="000000"/>
          <w:sz w:val="20"/>
          <w:szCs w:val="20"/>
        </w:rPr>
        <w:t xml:space="preserve"> </w:t>
      </w:r>
      <w:r>
        <w:rPr>
          <w:color w:val="000000"/>
        </w:rPr>
        <w:t>Description of the purpose and rationale behind the indicator, as well as examples and guidance on its correct interpretation and meaning.</w:t>
      </w:r>
    </w:p>
    <w:p w:rsidR="003F2780" w:rsidRDefault="003F2780">
      <w:pPr>
        <w:pBdr>
          <w:top w:val="nil"/>
          <w:left w:val="nil"/>
          <w:bottom w:val="nil"/>
          <w:right w:val="nil"/>
          <w:between w:val="nil"/>
        </w:pBdr>
        <w:spacing w:after="0" w:line="240" w:lineRule="auto"/>
        <w:rPr>
          <w:color w:val="000000"/>
        </w:rPr>
      </w:pPr>
    </w:p>
    <w:p w:rsidR="003F2780" w:rsidRDefault="008F3083">
      <w:r>
        <w:rPr>
          <w:b/>
          <w:i/>
        </w:rPr>
        <w:t>4.b. Comment and limitations</w:t>
      </w:r>
      <w:r>
        <w:t>:</w:t>
      </w:r>
      <w:r>
        <w:rPr>
          <w:b/>
          <w:i/>
        </w:rPr>
        <w:t xml:space="preserve"> </w:t>
      </w:r>
      <w:r>
        <w:t>Comments on the feasibility, suitability, relevance and limitations of the indicator. Also includes data comparability issues, presence of wide confidence intervals (such as for maternal mortality ratios); provides further details on additional non-official indicators commonly used together with the indicator.</w:t>
      </w:r>
    </w:p>
    <w:p w:rsidR="003F2780" w:rsidRDefault="008F3083">
      <w:pPr>
        <w:pBdr>
          <w:top w:val="nil"/>
          <w:left w:val="nil"/>
          <w:bottom w:val="nil"/>
          <w:right w:val="nil"/>
          <w:between w:val="nil"/>
        </w:pBdr>
        <w:spacing w:after="0" w:line="240" w:lineRule="auto"/>
        <w:rPr>
          <w:color w:val="000000"/>
        </w:rPr>
      </w:pPr>
      <w:r>
        <w:rPr>
          <w:b/>
          <w:i/>
          <w:color w:val="000000"/>
        </w:rPr>
        <w:t>4.c. Method of computation</w:t>
      </w:r>
      <w:r>
        <w:rPr>
          <w:color w:val="000000"/>
        </w:rPr>
        <w:t>:</w:t>
      </w:r>
      <w:r>
        <w:rPr>
          <w:b/>
          <w:i/>
          <w:color w:val="000000"/>
          <w:sz w:val="20"/>
          <w:szCs w:val="20"/>
        </w:rPr>
        <w:t xml:space="preserve"> </w:t>
      </w:r>
      <w:r>
        <w:rPr>
          <w:color w:val="000000"/>
        </w:rPr>
        <w:t>Explanation of how the indicator is calculated, including mathematical formulas and descriptive information of computations made on the source data to produce the indicator (including adjustments and weighting). This explanation should also highlight cases in which mixed sources are used or where the calculation has changed over time (i.e., discontinuities in the series).</w:t>
      </w:r>
    </w:p>
    <w:p w:rsidR="003F2780" w:rsidRDefault="003F2780">
      <w:pPr>
        <w:pBdr>
          <w:top w:val="nil"/>
          <w:left w:val="nil"/>
          <w:bottom w:val="nil"/>
          <w:right w:val="nil"/>
          <w:between w:val="nil"/>
        </w:pBdr>
        <w:spacing w:after="0" w:line="240" w:lineRule="auto"/>
        <w:rPr>
          <w:color w:val="000000"/>
        </w:rPr>
      </w:pPr>
    </w:p>
    <w:p w:rsidR="003F2780" w:rsidRDefault="008F3083">
      <w:r>
        <w:rPr>
          <w:b/>
          <w:i/>
        </w:rPr>
        <w:t xml:space="preserve">4.d. Validation: </w:t>
      </w:r>
      <w:r>
        <w:t>Description of process of monitoring the results of data compilation and ensuring the quality of the statistical results, including consultation process with countries on the national data submitted to the SDGs Indicators Database. Descriptions and links to all relevant reference materials should be provided.</w:t>
      </w:r>
    </w:p>
    <w:p w:rsidR="003F2780" w:rsidRDefault="008F3083">
      <w:r>
        <w:rPr>
          <w:b/>
          <w:i/>
        </w:rPr>
        <w:t>4.e. Adjustments</w:t>
      </w:r>
      <w:r>
        <w:t>: Global reporting: Description of any adjustments with respect to use of standard classifications and harmonization of breakdowns for age group and other dimensions, or adjustments made for compliance with specific international or national definitions. National reporting:  This concept is typically not applicable for national reporting.</w:t>
      </w:r>
    </w:p>
    <w:p w:rsidR="003F2780" w:rsidRDefault="008F3083">
      <w:r>
        <w:rPr>
          <w:b/>
          <w:i/>
        </w:rPr>
        <w:t>4.f. Treatment of missing values (i) at country level and (ii) at regional level</w:t>
      </w:r>
      <w:r>
        <w:t>: Global reporting: (National level) Description of the methodology employed for producing estimates for the indicator when country data are not available, including any mathematical formulas and description of additional variables used as input into the estimation process. (Regional level) Description of how missing values for individual countries or areas are imputed or otherwise estimated by international agencies to derive regional or global aggregates of the indicator. National reporting: This concept is not applicable for national reporting.</w:t>
      </w:r>
    </w:p>
    <w:p w:rsidR="003F2780" w:rsidRDefault="008F3083">
      <w:r>
        <w:rPr>
          <w:b/>
          <w:i/>
        </w:rPr>
        <w:t>4.g. Regional aggregations</w:t>
      </w:r>
      <w:r>
        <w:t>: Global reporting: Description of the methodology, including any mathematical formulas, used for the calculation of the regional/global aggregates from the country values. Description of the weighting structure used for aggregating country indicator values to regional and global levels. Additional methodological details on how the data from countries or areas is assembled by custodian international agencies to provide regional and global aggregates. This is distinct from the method of computation, which looks at how the indicator is compiled at a national level. National reporting: This concept is not applicable for national reporting.</w:t>
      </w:r>
    </w:p>
    <w:p w:rsidR="003F2780" w:rsidRDefault="008F3083">
      <w:r>
        <w:rPr>
          <w:b/>
          <w:i/>
        </w:rPr>
        <w:t>4.h. Methods and guidance available to countries for the compilation of the data at the national level:</w:t>
      </w:r>
      <w:r>
        <w:t xml:space="preserve"> Global reporting: Description of methodology used by countries for the compilation of data at national level and the relevant international recommendations and guidelines available to countries. Descriptions and links to all relevant reference materials should be provided. National reporting: For national reporting a country may refer to the globally available metadata and explain how it is being used.</w:t>
      </w:r>
    </w:p>
    <w:p w:rsidR="003F2780" w:rsidRDefault="008F3083">
      <w:r>
        <w:rPr>
          <w:b/>
          <w:i/>
        </w:rPr>
        <w:t>4.i. Quality management</w:t>
      </w:r>
      <w:r>
        <w:t>: Description of systems and frameworks in place within an organisation to manage the quality of statistical products and processes.</w:t>
      </w:r>
    </w:p>
    <w:p w:rsidR="003F2780" w:rsidRDefault="008F3083">
      <w:r>
        <w:rPr>
          <w:b/>
          <w:i/>
        </w:rPr>
        <w:t xml:space="preserve">4.j Quality assurance: </w:t>
      </w:r>
      <w:r>
        <w:t>Description of practices and guidelines focusing on quality in general and dealing with quality of statistical programmes at your agency, including measures for ensuring the efficient use of resources.</w:t>
      </w:r>
    </w:p>
    <w:p w:rsidR="003F2780" w:rsidRDefault="008F3083">
      <w:pPr>
        <w:pBdr>
          <w:top w:val="nil"/>
          <w:left w:val="nil"/>
          <w:bottom w:val="nil"/>
          <w:right w:val="nil"/>
          <w:between w:val="nil"/>
        </w:pBdr>
        <w:spacing w:after="0" w:line="240" w:lineRule="auto"/>
        <w:rPr>
          <w:color w:val="000000"/>
        </w:rPr>
      </w:pPr>
      <w:r>
        <w:rPr>
          <w:b/>
          <w:i/>
          <w:color w:val="000000"/>
        </w:rPr>
        <w:t>4.k Quality assessment</w:t>
      </w:r>
      <w:r>
        <w:rPr>
          <w:color w:val="000000"/>
        </w:rPr>
        <w:t>:</w:t>
      </w:r>
      <w:r>
        <w:rPr>
          <w:color w:val="000000"/>
          <w:sz w:val="20"/>
          <w:szCs w:val="20"/>
        </w:rPr>
        <w:t xml:space="preserve"> </w:t>
      </w:r>
      <w:r>
        <w:rPr>
          <w:color w:val="000000"/>
        </w:rPr>
        <w:t>Description of overall evaluation of fulfilling quality requirements, based on standard quality criteria.</w:t>
      </w:r>
    </w:p>
    <w:p w:rsidR="003F2780" w:rsidRDefault="003F2780">
      <w:pPr>
        <w:pBdr>
          <w:top w:val="nil"/>
          <w:left w:val="nil"/>
          <w:bottom w:val="nil"/>
          <w:right w:val="nil"/>
          <w:between w:val="nil"/>
        </w:pBdr>
        <w:spacing w:after="0" w:line="240" w:lineRule="auto"/>
        <w:rPr>
          <w:color w:val="000000"/>
        </w:rPr>
      </w:pPr>
    </w:p>
    <w:p w:rsidR="003F2780" w:rsidRDefault="003F2780">
      <w:pPr>
        <w:pBdr>
          <w:top w:val="nil"/>
          <w:left w:val="nil"/>
          <w:bottom w:val="nil"/>
          <w:right w:val="nil"/>
          <w:between w:val="nil"/>
        </w:pBdr>
        <w:spacing w:after="0" w:line="240" w:lineRule="auto"/>
        <w:rPr>
          <w:color w:val="000000"/>
        </w:rPr>
      </w:pPr>
    </w:p>
    <w:p w:rsidR="003F2780" w:rsidRDefault="008F3083">
      <w:pPr>
        <w:pBdr>
          <w:top w:val="nil"/>
          <w:left w:val="nil"/>
          <w:bottom w:val="nil"/>
          <w:right w:val="nil"/>
          <w:between w:val="nil"/>
        </w:pBdr>
        <w:spacing w:after="0" w:line="240" w:lineRule="auto"/>
        <w:rPr>
          <w:color w:val="000000"/>
        </w:rPr>
      </w:pPr>
      <w:r>
        <w:rPr>
          <w:b/>
          <w:i/>
          <w:color w:val="000000"/>
        </w:rPr>
        <w:t>5. Data availability and disaggregation:</w:t>
      </w:r>
      <w:r>
        <w:rPr>
          <w:b/>
          <w:i/>
          <w:color w:val="000000"/>
          <w:sz w:val="20"/>
          <w:szCs w:val="20"/>
        </w:rPr>
        <w:t xml:space="preserve"> </w:t>
      </w:r>
      <w:r>
        <w:rPr>
          <w:color w:val="000000"/>
        </w:rPr>
        <w:t>Global reporting: Indicate for how many countries the data for this indicator are already currently available on a regular basis. Data availability by regional breakdowns and time periods can also be descibed here. Describe the specification of the dimensions and levels used for disaggregation of the indicator (e.g., income, sex, age group, geographic location, disability status, etc.). National reporting: Data availability by sub-national breakdowns and time periods can be descibed here. Describe the specification of the dimensions and levels used for disaggregation of the indicator (e.g., income, sex, age group, geographic location, disability status, etc.).</w:t>
      </w:r>
    </w:p>
    <w:p w:rsidR="003F2780" w:rsidRDefault="003F2780">
      <w:pPr>
        <w:pBdr>
          <w:top w:val="nil"/>
          <w:left w:val="nil"/>
          <w:bottom w:val="nil"/>
          <w:right w:val="nil"/>
          <w:between w:val="nil"/>
        </w:pBdr>
        <w:spacing w:after="0" w:line="240" w:lineRule="auto"/>
        <w:rPr>
          <w:color w:val="000000"/>
        </w:rPr>
      </w:pPr>
    </w:p>
    <w:p w:rsidR="003F2780" w:rsidRDefault="008F3083">
      <w:r>
        <w:rPr>
          <w:b/>
          <w:i/>
        </w:rPr>
        <w:t>6. Comparability / Deviation from international standards:</w:t>
      </w:r>
      <w:r>
        <w:t xml:space="preserve"> Explanation on the differences between country produced and internationally estimated data on this indicator, highlighting and summarising the main sources of differences.</w:t>
      </w:r>
    </w:p>
    <w:p w:rsidR="003F2780" w:rsidRDefault="008F3083">
      <w:r>
        <w:rPr>
          <w:b/>
          <w:i/>
        </w:rPr>
        <w:t>7. References and Documentation</w:t>
      </w:r>
      <w:r>
        <w:t>: Descriptions and links to all relevant reference materials related to this indicator.</w:t>
      </w:r>
    </w:p>
    <w:p w:rsidR="003F2780" w:rsidRDefault="008F3083">
      <w:pPr>
        <w:pBdr>
          <w:top w:val="nil"/>
          <w:left w:val="nil"/>
          <w:bottom w:val="nil"/>
          <w:right w:val="nil"/>
          <w:between w:val="nil"/>
        </w:pBdr>
        <w:shd w:val="clear" w:color="auto" w:fill="F5F5F5"/>
        <w:spacing w:after="0" w:line="276" w:lineRule="auto"/>
        <w:rPr>
          <w:color w:val="1C75BC"/>
          <w:sz w:val="28"/>
          <w:szCs w:val="28"/>
        </w:rPr>
      </w:pPr>
      <w:bookmarkStart w:id="14" w:name="35nkun2" w:colFirst="0" w:colLast="0"/>
      <w:bookmarkStart w:id="15" w:name="_lnxbz9" w:colFirst="0" w:colLast="0"/>
      <w:bookmarkEnd w:id="14"/>
      <w:bookmarkEnd w:id="15"/>
      <w:r>
        <w:rPr>
          <w:color w:val="1C75BC"/>
          <w:sz w:val="28"/>
          <w:szCs w:val="28"/>
        </w:rPr>
        <w:t>B. Mapping of SDMX Detailed Concepts to IAEG-SDG File Format</w:t>
      </w:r>
    </w:p>
    <w:p w:rsidR="003F2780" w:rsidRDefault="008F3083">
      <w:pPr>
        <w:pBdr>
          <w:top w:val="nil"/>
          <w:left w:val="nil"/>
          <w:bottom w:val="nil"/>
          <w:right w:val="nil"/>
          <w:between w:val="nil"/>
        </w:pBdr>
        <w:shd w:val="clear" w:color="auto" w:fill="FFFFFF"/>
        <w:spacing w:after="0" w:line="276" w:lineRule="auto"/>
        <w:rPr>
          <w:color w:val="4A4A4A"/>
          <w:sz w:val="21"/>
          <w:szCs w:val="21"/>
        </w:rPr>
      </w:pPr>
      <w:r>
        <w:rPr>
          <w:color w:val="4A4A4A"/>
          <w:sz w:val="21"/>
          <w:szCs w:val="21"/>
        </w:rPr>
        <w:t>This is an aid to format the SDMX metadata concepts to the metadata submitted in the IAEG-SDG file format. In some cases, these headers and sections of the IAEG-SDG format do not correspond perfectly to the SDMX concepts. Consult the SDMX metadata concept definitions.</w:t>
      </w:r>
    </w:p>
    <w:p w:rsidR="003F2780" w:rsidRDefault="003F2780">
      <w:pPr>
        <w:pBdr>
          <w:top w:val="nil"/>
          <w:left w:val="nil"/>
          <w:bottom w:val="nil"/>
          <w:right w:val="nil"/>
          <w:between w:val="nil"/>
        </w:pBdr>
        <w:shd w:val="clear" w:color="auto" w:fill="FFFFFF"/>
        <w:spacing w:after="0" w:line="276" w:lineRule="auto"/>
        <w:rPr>
          <w:color w:val="4A4A4A"/>
          <w:sz w:val="21"/>
          <w:szCs w:val="21"/>
        </w:rPr>
      </w:pPr>
    </w:p>
    <w:tbl>
      <w:tblPr>
        <w:tblStyle w:val="a7"/>
        <w:tblW w:w="85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232"/>
        <w:gridCol w:w="5310"/>
      </w:tblGrid>
      <w:tr w:rsidR="003F2780">
        <w:trPr>
          <w:trHeight w:val="300"/>
        </w:trPr>
        <w:tc>
          <w:tcPr>
            <w:tcW w:w="3232" w:type="dxa"/>
            <w:shd w:val="clear" w:color="auto" w:fill="BDD7EE"/>
            <w:tcMar>
              <w:top w:w="0" w:type="dxa"/>
              <w:left w:w="45" w:type="dxa"/>
              <w:bottom w:w="0" w:type="dxa"/>
              <w:right w:w="45" w:type="dxa"/>
            </w:tcMar>
          </w:tcPr>
          <w:p w:rsidR="003F2780" w:rsidRDefault="008F3083">
            <w:pPr>
              <w:spacing w:after="0" w:line="240" w:lineRule="auto"/>
              <w:rPr>
                <w:color w:val="000000"/>
              </w:rPr>
            </w:pPr>
            <w:r>
              <w:rPr>
                <w:color w:val="000000"/>
              </w:rPr>
              <w:t>Detailed Metadata Concept Name</w:t>
            </w:r>
          </w:p>
        </w:tc>
        <w:tc>
          <w:tcPr>
            <w:tcW w:w="5310" w:type="dxa"/>
            <w:shd w:val="clear" w:color="auto" w:fill="BDD7EE"/>
            <w:tcMar>
              <w:top w:w="0" w:type="dxa"/>
              <w:left w:w="45" w:type="dxa"/>
              <w:bottom w:w="0" w:type="dxa"/>
              <w:right w:w="45" w:type="dxa"/>
            </w:tcMar>
          </w:tcPr>
          <w:p w:rsidR="003F2780" w:rsidRDefault="008F3083">
            <w:pPr>
              <w:spacing w:after="0" w:line="240" w:lineRule="auto"/>
              <w:rPr>
                <w:color w:val="000000"/>
              </w:rPr>
            </w:pPr>
            <w:r>
              <w:rPr>
                <w:color w:val="000000"/>
              </w:rPr>
              <w:t>IAEG-SDG Headers and Subheaders</w:t>
            </w:r>
          </w:p>
        </w:tc>
      </w:tr>
      <w:tr w:rsidR="003F2780">
        <w:trPr>
          <w:trHeight w:val="300"/>
        </w:trPr>
        <w:tc>
          <w:tcPr>
            <w:tcW w:w="3232" w:type="dxa"/>
            <w:shd w:val="clear" w:color="auto" w:fill="E7E6E6"/>
            <w:tcMar>
              <w:top w:w="0" w:type="dxa"/>
              <w:left w:w="45" w:type="dxa"/>
              <w:bottom w:w="0" w:type="dxa"/>
              <w:right w:w="45" w:type="dxa"/>
            </w:tcMar>
          </w:tcPr>
          <w:p w:rsidR="003F2780" w:rsidRDefault="008F3083">
            <w:pPr>
              <w:spacing w:after="0" w:line="240" w:lineRule="auto"/>
            </w:pPr>
            <w:r>
              <w:t>0.a. Goal</w:t>
            </w:r>
          </w:p>
        </w:tc>
        <w:tc>
          <w:tcPr>
            <w:tcW w:w="5310" w:type="dxa"/>
            <w:shd w:val="clear" w:color="auto" w:fill="E7E6E6"/>
            <w:tcMar>
              <w:top w:w="0" w:type="dxa"/>
              <w:left w:w="45" w:type="dxa"/>
              <w:bottom w:w="0" w:type="dxa"/>
              <w:right w:w="45" w:type="dxa"/>
            </w:tcMar>
          </w:tcPr>
          <w:p w:rsidR="003F2780" w:rsidRDefault="008F3083">
            <w:pPr>
              <w:spacing w:after="0" w:line="240" w:lineRule="auto"/>
            </w:pPr>
            <w:r>
              <w:t xml:space="preserve">Goal </w:t>
            </w:r>
          </w:p>
        </w:tc>
      </w:tr>
      <w:tr w:rsidR="003F2780">
        <w:trPr>
          <w:trHeight w:val="300"/>
        </w:trPr>
        <w:tc>
          <w:tcPr>
            <w:tcW w:w="3232" w:type="dxa"/>
            <w:shd w:val="clear" w:color="auto" w:fill="E7E6E6"/>
            <w:tcMar>
              <w:top w:w="0" w:type="dxa"/>
              <w:left w:w="45" w:type="dxa"/>
              <w:bottom w:w="0" w:type="dxa"/>
              <w:right w:w="45" w:type="dxa"/>
            </w:tcMar>
          </w:tcPr>
          <w:p w:rsidR="003F2780" w:rsidRDefault="008F3083">
            <w:pPr>
              <w:spacing w:after="0" w:line="240" w:lineRule="auto"/>
            </w:pPr>
            <w:r>
              <w:t>0.b. Target</w:t>
            </w:r>
          </w:p>
        </w:tc>
        <w:tc>
          <w:tcPr>
            <w:tcW w:w="5310" w:type="dxa"/>
            <w:shd w:val="clear" w:color="auto" w:fill="E7E6E6"/>
            <w:tcMar>
              <w:top w:w="0" w:type="dxa"/>
              <w:left w:w="45" w:type="dxa"/>
              <w:bottom w:w="0" w:type="dxa"/>
              <w:right w:w="45" w:type="dxa"/>
            </w:tcMar>
          </w:tcPr>
          <w:p w:rsidR="003F2780" w:rsidRDefault="008F3083">
            <w:pPr>
              <w:spacing w:after="0" w:line="240" w:lineRule="auto"/>
            </w:pPr>
            <w:r>
              <w:t xml:space="preserve">Target </w:t>
            </w:r>
          </w:p>
        </w:tc>
      </w:tr>
      <w:tr w:rsidR="003F2780">
        <w:trPr>
          <w:trHeight w:val="300"/>
        </w:trPr>
        <w:tc>
          <w:tcPr>
            <w:tcW w:w="3232" w:type="dxa"/>
            <w:shd w:val="clear" w:color="auto" w:fill="E7E6E6"/>
            <w:tcMar>
              <w:top w:w="0" w:type="dxa"/>
              <w:left w:w="45" w:type="dxa"/>
              <w:bottom w:w="0" w:type="dxa"/>
              <w:right w:w="45" w:type="dxa"/>
            </w:tcMar>
          </w:tcPr>
          <w:p w:rsidR="003F2780" w:rsidRDefault="008F3083">
            <w:pPr>
              <w:spacing w:after="0" w:line="240" w:lineRule="auto"/>
            </w:pPr>
            <w:r>
              <w:t>0.c. Indicator</w:t>
            </w:r>
          </w:p>
        </w:tc>
        <w:tc>
          <w:tcPr>
            <w:tcW w:w="5310" w:type="dxa"/>
            <w:shd w:val="clear" w:color="auto" w:fill="E7E6E6"/>
            <w:tcMar>
              <w:top w:w="0" w:type="dxa"/>
              <w:left w:w="45" w:type="dxa"/>
              <w:bottom w:w="0" w:type="dxa"/>
              <w:right w:w="45" w:type="dxa"/>
            </w:tcMar>
          </w:tcPr>
          <w:p w:rsidR="003F2780" w:rsidRDefault="008F3083">
            <w:pPr>
              <w:spacing w:after="0" w:line="240" w:lineRule="auto"/>
            </w:pPr>
            <w:r>
              <w:t>Indicator</w:t>
            </w:r>
          </w:p>
        </w:tc>
      </w:tr>
      <w:tr w:rsidR="003F2780">
        <w:trPr>
          <w:trHeight w:val="300"/>
        </w:trPr>
        <w:tc>
          <w:tcPr>
            <w:tcW w:w="3232" w:type="dxa"/>
            <w:shd w:val="clear" w:color="auto" w:fill="E7E6E6"/>
            <w:tcMar>
              <w:top w:w="0" w:type="dxa"/>
              <w:left w:w="45" w:type="dxa"/>
              <w:bottom w:w="0" w:type="dxa"/>
              <w:right w:w="45" w:type="dxa"/>
            </w:tcMar>
          </w:tcPr>
          <w:p w:rsidR="003F2780" w:rsidRDefault="008F3083">
            <w:pPr>
              <w:spacing w:after="0" w:line="240" w:lineRule="auto"/>
            </w:pPr>
            <w:r>
              <w:t>0.d. Series</w:t>
            </w:r>
          </w:p>
        </w:tc>
        <w:tc>
          <w:tcPr>
            <w:tcW w:w="5310" w:type="dxa"/>
            <w:shd w:val="clear" w:color="auto" w:fill="E7E6E6"/>
            <w:tcMar>
              <w:top w:w="0" w:type="dxa"/>
              <w:left w:w="45" w:type="dxa"/>
              <w:bottom w:w="0" w:type="dxa"/>
              <w:right w:w="45" w:type="dxa"/>
            </w:tcMar>
          </w:tcPr>
          <w:p w:rsidR="003F2780" w:rsidRDefault="003F2780">
            <w:pPr>
              <w:spacing w:after="0" w:line="240" w:lineRule="auto"/>
            </w:pPr>
          </w:p>
        </w:tc>
      </w:tr>
      <w:tr w:rsidR="003F2780">
        <w:trPr>
          <w:trHeight w:val="300"/>
        </w:trPr>
        <w:tc>
          <w:tcPr>
            <w:tcW w:w="3232" w:type="dxa"/>
            <w:shd w:val="clear" w:color="auto" w:fill="E7E6E6"/>
            <w:tcMar>
              <w:top w:w="0" w:type="dxa"/>
              <w:left w:w="45" w:type="dxa"/>
              <w:bottom w:w="0" w:type="dxa"/>
              <w:right w:w="45" w:type="dxa"/>
            </w:tcMar>
          </w:tcPr>
          <w:p w:rsidR="003F2780" w:rsidRDefault="008F3083">
            <w:pPr>
              <w:spacing w:after="0" w:line="240" w:lineRule="auto"/>
            </w:pPr>
            <w:r>
              <w:t>0.e. Metadata update</w:t>
            </w:r>
          </w:p>
        </w:tc>
        <w:tc>
          <w:tcPr>
            <w:tcW w:w="5310" w:type="dxa"/>
            <w:shd w:val="clear" w:color="auto" w:fill="E7E6E6"/>
            <w:tcMar>
              <w:top w:w="0" w:type="dxa"/>
              <w:left w:w="45" w:type="dxa"/>
              <w:bottom w:w="0" w:type="dxa"/>
              <w:right w:w="45" w:type="dxa"/>
            </w:tcMar>
          </w:tcPr>
          <w:p w:rsidR="003F2780" w:rsidRDefault="008F3083">
            <w:pPr>
              <w:spacing w:after="0" w:line="240" w:lineRule="auto"/>
            </w:pPr>
            <w:r>
              <w:t>Last updated: [DATE]</w:t>
            </w:r>
          </w:p>
        </w:tc>
      </w:tr>
      <w:tr w:rsidR="003F2780">
        <w:trPr>
          <w:trHeight w:val="300"/>
        </w:trPr>
        <w:tc>
          <w:tcPr>
            <w:tcW w:w="3232" w:type="dxa"/>
            <w:shd w:val="clear" w:color="auto" w:fill="E7E6E6"/>
            <w:tcMar>
              <w:top w:w="0" w:type="dxa"/>
              <w:left w:w="45" w:type="dxa"/>
              <w:bottom w:w="0" w:type="dxa"/>
              <w:right w:w="45" w:type="dxa"/>
            </w:tcMar>
          </w:tcPr>
          <w:p w:rsidR="003F2780" w:rsidRDefault="008F3083">
            <w:pPr>
              <w:spacing w:after="0" w:line="240" w:lineRule="auto"/>
            </w:pPr>
            <w:r>
              <w:t>0.f. Related indicators</w:t>
            </w:r>
          </w:p>
        </w:tc>
        <w:tc>
          <w:tcPr>
            <w:tcW w:w="5310" w:type="dxa"/>
            <w:shd w:val="clear" w:color="auto" w:fill="E7E6E6"/>
            <w:tcMar>
              <w:top w:w="0" w:type="dxa"/>
              <w:left w:w="45" w:type="dxa"/>
              <w:bottom w:w="0" w:type="dxa"/>
              <w:right w:w="45" w:type="dxa"/>
            </w:tcMar>
          </w:tcPr>
          <w:p w:rsidR="003F2780" w:rsidRDefault="008F3083">
            <w:pPr>
              <w:spacing w:after="0" w:line="240" w:lineRule="auto"/>
            </w:pPr>
            <w:r>
              <w:t>Related indicators</w:t>
            </w:r>
          </w:p>
        </w:tc>
      </w:tr>
      <w:tr w:rsidR="003F2780">
        <w:trPr>
          <w:trHeight w:val="300"/>
        </w:trPr>
        <w:tc>
          <w:tcPr>
            <w:tcW w:w="3232" w:type="dxa"/>
            <w:shd w:val="clear" w:color="auto" w:fill="E7E6E6"/>
            <w:tcMar>
              <w:top w:w="0" w:type="dxa"/>
              <w:left w:w="45" w:type="dxa"/>
              <w:bottom w:w="0" w:type="dxa"/>
              <w:right w:w="45" w:type="dxa"/>
            </w:tcMar>
          </w:tcPr>
          <w:p w:rsidR="003F2780" w:rsidRDefault="008F3083">
            <w:pPr>
              <w:spacing w:after="0" w:line="240" w:lineRule="auto"/>
            </w:pPr>
            <w:r>
              <w:t>0.g. International organisations(s) responsible for global monitoring</w:t>
            </w:r>
          </w:p>
        </w:tc>
        <w:tc>
          <w:tcPr>
            <w:tcW w:w="5310" w:type="dxa"/>
            <w:shd w:val="clear" w:color="auto" w:fill="E7E6E6"/>
            <w:tcMar>
              <w:top w:w="0" w:type="dxa"/>
              <w:left w:w="45" w:type="dxa"/>
              <w:bottom w:w="0" w:type="dxa"/>
              <w:right w:w="45" w:type="dxa"/>
            </w:tcMar>
          </w:tcPr>
          <w:p w:rsidR="003F2780" w:rsidRDefault="008F3083">
            <w:pPr>
              <w:spacing w:after="0" w:line="240" w:lineRule="auto"/>
            </w:pPr>
            <w:r>
              <w:t>Institutional information</w:t>
            </w:r>
            <w:r>
              <w:br/>
              <w:t>Organization(s)</w:t>
            </w:r>
          </w:p>
        </w:tc>
      </w:tr>
      <w:tr w:rsidR="003F2780">
        <w:trPr>
          <w:trHeight w:val="300"/>
        </w:trPr>
        <w:tc>
          <w:tcPr>
            <w:tcW w:w="3232" w:type="dxa"/>
            <w:shd w:val="clear" w:color="auto" w:fill="E7E6E6"/>
            <w:tcMar>
              <w:top w:w="0" w:type="dxa"/>
              <w:left w:w="45" w:type="dxa"/>
              <w:bottom w:w="0" w:type="dxa"/>
              <w:right w:w="45" w:type="dxa"/>
            </w:tcMar>
          </w:tcPr>
          <w:p w:rsidR="003F2780" w:rsidRDefault="008F3083">
            <w:pPr>
              <w:spacing w:after="0" w:line="240" w:lineRule="auto"/>
            </w:pPr>
            <w:r>
              <w:t>1.a. Organisation</w:t>
            </w:r>
          </w:p>
        </w:tc>
        <w:tc>
          <w:tcPr>
            <w:tcW w:w="5310" w:type="dxa"/>
            <w:shd w:val="clear" w:color="auto" w:fill="E7E6E6"/>
            <w:tcMar>
              <w:top w:w="0" w:type="dxa"/>
              <w:left w:w="45" w:type="dxa"/>
              <w:bottom w:w="0" w:type="dxa"/>
              <w:right w:w="45" w:type="dxa"/>
            </w:tcMar>
          </w:tcPr>
          <w:p w:rsidR="003F2780" w:rsidRDefault="003F2780">
            <w:pPr>
              <w:spacing w:after="0" w:line="240" w:lineRule="auto"/>
            </w:pPr>
          </w:p>
        </w:tc>
      </w:tr>
      <w:tr w:rsidR="003F2780">
        <w:trPr>
          <w:trHeight w:val="300"/>
        </w:trPr>
        <w:tc>
          <w:tcPr>
            <w:tcW w:w="3232" w:type="dxa"/>
            <w:shd w:val="clear" w:color="auto" w:fill="E7E6E6"/>
            <w:tcMar>
              <w:top w:w="0" w:type="dxa"/>
              <w:left w:w="45" w:type="dxa"/>
              <w:bottom w:w="0" w:type="dxa"/>
              <w:right w:w="45" w:type="dxa"/>
            </w:tcMar>
          </w:tcPr>
          <w:p w:rsidR="003F2780" w:rsidRDefault="008F3083">
            <w:pPr>
              <w:spacing w:after="0" w:line="240" w:lineRule="auto"/>
            </w:pPr>
            <w:r>
              <w:t>1.b. Contact person(s)</w:t>
            </w:r>
          </w:p>
        </w:tc>
        <w:tc>
          <w:tcPr>
            <w:tcW w:w="5310" w:type="dxa"/>
            <w:shd w:val="clear" w:color="auto" w:fill="E7E6E6"/>
            <w:tcMar>
              <w:top w:w="0" w:type="dxa"/>
              <w:left w:w="45" w:type="dxa"/>
              <w:bottom w:w="0" w:type="dxa"/>
              <w:right w:w="45" w:type="dxa"/>
            </w:tcMar>
          </w:tcPr>
          <w:p w:rsidR="003F2780" w:rsidRDefault="003F2780">
            <w:pPr>
              <w:spacing w:after="0" w:line="240" w:lineRule="auto"/>
            </w:pPr>
          </w:p>
        </w:tc>
      </w:tr>
      <w:tr w:rsidR="003F2780">
        <w:trPr>
          <w:trHeight w:val="300"/>
        </w:trPr>
        <w:tc>
          <w:tcPr>
            <w:tcW w:w="3232" w:type="dxa"/>
            <w:shd w:val="clear" w:color="auto" w:fill="E7E6E6"/>
            <w:tcMar>
              <w:top w:w="0" w:type="dxa"/>
              <w:left w:w="45" w:type="dxa"/>
              <w:bottom w:w="0" w:type="dxa"/>
              <w:right w:w="45" w:type="dxa"/>
            </w:tcMar>
          </w:tcPr>
          <w:p w:rsidR="003F2780" w:rsidRDefault="008F3083">
            <w:pPr>
              <w:spacing w:after="0" w:line="240" w:lineRule="auto"/>
            </w:pPr>
            <w:r>
              <w:t>1.c. Contact organisation unit</w:t>
            </w:r>
          </w:p>
        </w:tc>
        <w:tc>
          <w:tcPr>
            <w:tcW w:w="5310" w:type="dxa"/>
            <w:shd w:val="clear" w:color="auto" w:fill="E7E6E6"/>
            <w:tcMar>
              <w:top w:w="0" w:type="dxa"/>
              <w:left w:w="45" w:type="dxa"/>
              <w:bottom w:w="0" w:type="dxa"/>
              <w:right w:w="45" w:type="dxa"/>
            </w:tcMar>
          </w:tcPr>
          <w:p w:rsidR="003F2780" w:rsidRDefault="003F2780">
            <w:pPr>
              <w:spacing w:after="0" w:line="240" w:lineRule="auto"/>
            </w:pPr>
          </w:p>
        </w:tc>
      </w:tr>
      <w:tr w:rsidR="003F2780">
        <w:trPr>
          <w:trHeight w:val="300"/>
        </w:trPr>
        <w:tc>
          <w:tcPr>
            <w:tcW w:w="3232" w:type="dxa"/>
            <w:shd w:val="clear" w:color="auto" w:fill="E7E6E6"/>
            <w:tcMar>
              <w:top w:w="0" w:type="dxa"/>
              <w:left w:w="45" w:type="dxa"/>
              <w:bottom w:w="0" w:type="dxa"/>
              <w:right w:w="45" w:type="dxa"/>
            </w:tcMar>
          </w:tcPr>
          <w:p w:rsidR="003F2780" w:rsidRDefault="008F3083">
            <w:pPr>
              <w:spacing w:after="0" w:line="240" w:lineRule="auto"/>
            </w:pPr>
            <w:r>
              <w:t>1.d. Contact person function</w:t>
            </w:r>
          </w:p>
        </w:tc>
        <w:tc>
          <w:tcPr>
            <w:tcW w:w="5310" w:type="dxa"/>
            <w:shd w:val="clear" w:color="auto" w:fill="E7E6E6"/>
            <w:tcMar>
              <w:top w:w="0" w:type="dxa"/>
              <w:left w:w="45" w:type="dxa"/>
              <w:bottom w:w="0" w:type="dxa"/>
              <w:right w:w="45" w:type="dxa"/>
            </w:tcMar>
          </w:tcPr>
          <w:p w:rsidR="003F2780" w:rsidRDefault="003F2780">
            <w:pPr>
              <w:spacing w:after="0" w:line="240" w:lineRule="auto"/>
            </w:pPr>
          </w:p>
        </w:tc>
      </w:tr>
      <w:tr w:rsidR="003F2780">
        <w:trPr>
          <w:trHeight w:val="300"/>
        </w:trPr>
        <w:tc>
          <w:tcPr>
            <w:tcW w:w="3232" w:type="dxa"/>
            <w:shd w:val="clear" w:color="auto" w:fill="E7E6E6"/>
            <w:tcMar>
              <w:top w:w="0" w:type="dxa"/>
              <w:left w:w="45" w:type="dxa"/>
              <w:bottom w:w="0" w:type="dxa"/>
              <w:right w:w="45" w:type="dxa"/>
            </w:tcMar>
          </w:tcPr>
          <w:p w:rsidR="003F2780" w:rsidRDefault="008F3083">
            <w:pPr>
              <w:spacing w:after="0" w:line="240" w:lineRule="auto"/>
            </w:pPr>
            <w:r>
              <w:t>1.e. Contact phone</w:t>
            </w:r>
          </w:p>
        </w:tc>
        <w:tc>
          <w:tcPr>
            <w:tcW w:w="5310" w:type="dxa"/>
            <w:shd w:val="clear" w:color="auto" w:fill="E7E6E6"/>
            <w:tcMar>
              <w:top w:w="0" w:type="dxa"/>
              <w:left w:w="45" w:type="dxa"/>
              <w:bottom w:w="0" w:type="dxa"/>
              <w:right w:w="45" w:type="dxa"/>
            </w:tcMar>
          </w:tcPr>
          <w:p w:rsidR="003F2780" w:rsidRDefault="003F2780">
            <w:pPr>
              <w:spacing w:after="0" w:line="240" w:lineRule="auto"/>
            </w:pPr>
          </w:p>
        </w:tc>
      </w:tr>
      <w:tr w:rsidR="003F2780">
        <w:trPr>
          <w:trHeight w:val="300"/>
        </w:trPr>
        <w:tc>
          <w:tcPr>
            <w:tcW w:w="3232" w:type="dxa"/>
            <w:shd w:val="clear" w:color="auto" w:fill="E7E6E6"/>
            <w:tcMar>
              <w:top w:w="0" w:type="dxa"/>
              <w:left w:w="45" w:type="dxa"/>
              <w:bottom w:w="0" w:type="dxa"/>
              <w:right w:w="45" w:type="dxa"/>
            </w:tcMar>
          </w:tcPr>
          <w:p w:rsidR="003F2780" w:rsidRDefault="008F3083">
            <w:pPr>
              <w:spacing w:after="0" w:line="240" w:lineRule="auto"/>
            </w:pPr>
            <w:r>
              <w:t>1.f. Contact mail</w:t>
            </w:r>
          </w:p>
        </w:tc>
        <w:tc>
          <w:tcPr>
            <w:tcW w:w="5310" w:type="dxa"/>
            <w:shd w:val="clear" w:color="auto" w:fill="E7E6E6"/>
            <w:tcMar>
              <w:top w:w="0" w:type="dxa"/>
              <w:left w:w="45" w:type="dxa"/>
              <w:bottom w:w="0" w:type="dxa"/>
              <w:right w:w="45" w:type="dxa"/>
            </w:tcMar>
          </w:tcPr>
          <w:p w:rsidR="003F2780" w:rsidRDefault="003F2780">
            <w:pPr>
              <w:spacing w:after="0" w:line="240" w:lineRule="auto"/>
            </w:pPr>
          </w:p>
        </w:tc>
      </w:tr>
      <w:tr w:rsidR="003F2780">
        <w:trPr>
          <w:trHeight w:val="300"/>
        </w:trPr>
        <w:tc>
          <w:tcPr>
            <w:tcW w:w="3232" w:type="dxa"/>
            <w:shd w:val="clear" w:color="auto" w:fill="E7E6E6"/>
            <w:tcMar>
              <w:top w:w="0" w:type="dxa"/>
              <w:left w:w="45" w:type="dxa"/>
              <w:bottom w:w="0" w:type="dxa"/>
              <w:right w:w="45" w:type="dxa"/>
            </w:tcMar>
          </w:tcPr>
          <w:p w:rsidR="003F2780" w:rsidRDefault="008F3083">
            <w:pPr>
              <w:spacing w:after="0" w:line="240" w:lineRule="auto"/>
            </w:pPr>
            <w:r>
              <w:t>1.g. Contact emails</w:t>
            </w:r>
          </w:p>
        </w:tc>
        <w:tc>
          <w:tcPr>
            <w:tcW w:w="5310" w:type="dxa"/>
            <w:shd w:val="clear" w:color="auto" w:fill="E7E6E6"/>
            <w:tcMar>
              <w:top w:w="0" w:type="dxa"/>
              <w:left w:w="45" w:type="dxa"/>
              <w:bottom w:w="0" w:type="dxa"/>
              <w:right w:w="45" w:type="dxa"/>
            </w:tcMar>
          </w:tcPr>
          <w:p w:rsidR="003F2780" w:rsidRDefault="003F2780">
            <w:pPr>
              <w:spacing w:after="0" w:line="240" w:lineRule="auto"/>
            </w:pPr>
          </w:p>
        </w:tc>
      </w:tr>
      <w:tr w:rsidR="003F2780">
        <w:trPr>
          <w:trHeight w:val="302"/>
        </w:trPr>
        <w:tc>
          <w:tcPr>
            <w:tcW w:w="3232" w:type="dxa"/>
            <w:shd w:val="clear" w:color="auto" w:fill="E7E6E6"/>
            <w:tcMar>
              <w:top w:w="0" w:type="dxa"/>
              <w:left w:w="45" w:type="dxa"/>
              <w:bottom w:w="0" w:type="dxa"/>
              <w:right w:w="45" w:type="dxa"/>
            </w:tcMar>
          </w:tcPr>
          <w:p w:rsidR="003F2780" w:rsidRDefault="008F3083">
            <w:pPr>
              <w:spacing w:after="0" w:line="240" w:lineRule="auto"/>
            </w:pPr>
            <w:r>
              <w:t>2.a. Definition and concepts</w:t>
            </w:r>
          </w:p>
        </w:tc>
        <w:tc>
          <w:tcPr>
            <w:tcW w:w="5310" w:type="dxa"/>
            <w:shd w:val="clear" w:color="auto" w:fill="E7E6E6"/>
            <w:tcMar>
              <w:top w:w="0" w:type="dxa"/>
              <w:left w:w="45" w:type="dxa"/>
              <w:bottom w:w="0" w:type="dxa"/>
              <w:right w:w="45" w:type="dxa"/>
            </w:tcMar>
          </w:tcPr>
          <w:p w:rsidR="003F2780" w:rsidRDefault="008F3083">
            <w:pPr>
              <w:spacing w:after="0" w:line="240" w:lineRule="auto"/>
            </w:pPr>
            <w:r>
              <w:t>Concepts and definitions</w:t>
            </w:r>
            <w:r>
              <w:br/>
              <w:t>Definition</w:t>
            </w:r>
            <w:r>
              <w:br/>
              <w:t>Concepts</w:t>
            </w:r>
          </w:p>
        </w:tc>
      </w:tr>
      <w:tr w:rsidR="003F2780">
        <w:trPr>
          <w:trHeight w:val="300"/>
        </w:trPr>
        <w:tc>
          <w:tcPr>
            <w:tcW w:w="3232" w:type="dxa"/>
            <w:shd w:val="clear" w:color="auto" w:fill="E7E6E6"/>
            <w:tcMar>
              <w:top w:w="0" w:type="dxa"/>
              <w:left w:w="45" w:type="dxa"/>
              <w:bottom w:w="0" w:type="dxa"/>
              <w:right w:w="45" w:type="dxa"/>
            </w:tcMar>
          </w:tcPr>
          <w:p w:rsidR="003F2780" w:rsidRDefault="008F3083">
            <w:pPr>
              <w:spacing w:after="0" w:line="240" w:lineRule="auto"/>
            </w:pPr>
            <w:r>
              <w:t>2.b. Unit of measure</w:t>
            </w:r>
          </w:p>
        </w:tc>
        <w:tc>
          <w:tcPr>
            <w:tcW w:w="5310" w:type="dxa"/>
            <w:shd w:val="clear" w:color="auto" w:fill="E7E6E6"/>
            <w:tcMar>
              <w:top w:w="0" w:type="dxa"/>
              <w:left w:w="45" w:type="dxa"/>
              <w:bottom w:w="0" w:type="dxa"/>
              <w:right w:w="45" w:type="dxa"/>
            </w:tcMar>
          </w:tcPr>
          <w:p w:rsidR="003F2780" w:rsidRDefault="003F2780">
            <w:pPr>
              <w:spacing w:after="0" w:line="240" w:lineRule="auto"/>
            </w:pPr>
          </w:p>
        </w:tc>
      </w:tr>
      <w:tr w:rsidR="003F2780">
        <w:trPr>
          <w:trHeight w:val="300"/>
        </w:trPr>
        <w:tc>
          <w:tcPr>
            <w:tcW w:w="3232" w:type="dxa"/>
            <w:shd w:val="clear" w:color="auto" w:fill="E7E6E6"/>
            <w:tcMar>
              <w:top w:w="0" w:type="dxa"/>
              <w:left w:w="45" w:type="dxa"/>
              <w:bottom w:w="0" w:type="dxa"/>
              <w:right w:w="45" w:type="dxa"/>
            </w:tcMar>
          </w:tcPr>
          <w:p w:rsidR="003F2780" w:rsidRDefault="008F3083">
            <w:pPr>
              <w:spacing w:after="0" w:line="240" w:lineRule="auto"/>
            </w:pPr>
            <w:r>
              <w:t>2.c. Classifications</w:t>
            </w:r>
          </w:p>
        </w:tc>
        <w:tc>
          <w:tcPr>
            <w:tcW w:w="5310" w:type="dxa"/>
            <w:shd w:val="clear" w:color="auto" w:fill="E7E6E6"/>
            <w:tcMar>
              <w:top w:w="0" w:type="dxa"/>
              <w:left w:w="45" w:type="dxa"/>
              <w:bottom w:w="0" w:type="dxa"/>
              <w:right w:w="45" w:type="dxa"/>
            </w:tcMar>
          </w:tcPr>
          <w:p w:rsidR="003F2780" w:rsidRDefault="003F2780">
            <w:pPr>
              <w:spacing w:after="0" w:line="240" w:lineRule="auto"/>
            </w:pPr>
          </w:p>
        </w:tc>
      </w:tr>
      <w:tr w:rsidR="003F2780">
        <w:trPr>
          <w:trHeight w:val="300"/>
        </w:trPr>
        <w:tc>
          <w:tcPr>
            <w:tcW w:w="3232" w:type="dxa"/>
            <w:shd w:val="clear" w:color="auto" w:fill="E7E6E6"/>
            <w:tcMar>
              <w:top w:w="0" w:type="dxa"/>
              <w:left w:w="45" w:type="dxa"/>
              <w:bottom w:w="0" w:type="dxa"/>
              <w:right w:w="45" w:type="dxa"/>
            </w:tcMar>
          </w:tcPr>
          <w:p w:rsidR="003F2780" w:rsidRDefault="008F3083">
            <w:pPr>
              <w:spacing w:after="0" w:line="240" w:lineRule="auto"/>
            </w:pPr>
            <w:r>
              <w:t>3.a. Data sources</w:t>
            </w:r>
          </w:p>
        </w:tc>
        <w:tc>
          <w:tcPr>
            <w:tcW w:w="5310" w:type="dxa"/>
            <w:shd w:val="clear" w:color="auto" w:fill="E7E6E6"/>
            <w:tcMar>
              <w:top w:w="0" w:type="dxa"/>
              <w:left w:w="45" w:type="dxa"/>
              <w:bottom w:w="0" w:type="dxa"/>
              <w:right w:w="45" w:type="dxa"/>
            </w:tcMar>
          </w:tcPr>
          <w:p w:rsidR="003F2780" w:rsidRDefault="008F3083">
            <w:pPr>
              <w:spacing w:after="0" w:line="240" w:lineRule="auto"/>
            </w:pPr>
            <w:r>
              <w:t>Data sources</w:t>
            </w:r>
            <w:r>
              <w:br/>
              <w:t>Description</w:t>
            </w:r>
          </w:p>
        </w:tc>
      </w:tr>
      <w:tr w:rsidR="003F2780">
        <w:trPr>
          <w:trHeight w:val="300"/>
        </w:trPr>
        <w:tc>
          <w:tcPr>
            <w:tcW w:w="3232" w:type="dxa"/>
            <w:shd w:val="clear" w:color="auto" w:fill="E7E6E6"/>
            <w:tcMar>
              <w:top w:w="0" w:type="dxa"/>
              <w:left w:w="45" w:type="dxa"/>
              <w:bottom w:w="0" w:type="dxa"/>
              <w:right w:w="45" w:type="dxa"/>
            </w:tcMar>
          </w:tcPr>
          <w:p w:rsidR="003F2780" w:rsidRDefault="008F3083">
            <w:pPr>
              <w:spacing w:after="0" w:line="240" w:lineRule="auto"/>
            </w:pPr>
            <w:r>
              <w:t>3.b. Data collection method</w:t>
            </w:r>
          </w:p>
        </w:tc>
        <w:tc>
          <w:tcPr>
            <w:tcW w:w="5310" w:type="dxa"/>
            <w:shd w:val="clear" w:color="auto" w:fill="E7E6E6"/>
            <w:tcMar>
              <w:top w:w="0" w:type="dxa"/>
              <w:left w:w="45" w:type="dxa"/>
              <w:bottom w:w="0" w:type="dxa"/>
              <w:right w:w="45" w:type="dxa"/>
            </w:tcMar>
          </w:tcPr>
          <w:p w:rsidR="003F2780" w:rsidRDefault="008F3083">
            <w:pPr>
              <w:spacing w:after="0" w:line="240" w:lineRule="auto"/>
            </w:pPr>
            <w:r>
              <w:t>Collection process</w:t>
            </w:r>
          </w:p>
        </w:tc>
      </w:tr>
      <w:tr w:rsidR="003F2780">
        <w:trPr>
          <w:trHeight w:val="300"/>
        </w:trPr>
        <w:tc>
          <w:tcPr>
            <w:tcW w:w="3232" w:type="dxa"/>
            <w:shd w:val="clear" w:color="auto" w:fill="E7E6E6"/>
            <w:tcMar>
              <w:top w:w="0" w:type="dxa"/>
              <w:left w:w="45" w:type="dxa"/>
              <w:bottom w:w="0" w:type="dxa"/>
              <w:right w:w="45" w:type="dxa"/>
            </w:tcMar>
          </w:tcPr>
          <w:p w:rsidR="003F2780" w:rsidRDefault="008F3083">
            <w:pPr>
              <w:spacing w:after="0" w:line="240" w:lineRule="auto"/>
            </w:pPr>
            <w:r>
              <w:t>3.c. Data collection calendar</w:t>
            </w:r>
          </w:p>
        </w:tc>
        <w:tc>
          <w:tcPr>
            <w:tcW w:w="5310" w:type="dxa"/>
            <w:shd w:val="clear" w:color="auto" w:fill="E7E6E6"/>
            <w:tcMar>
              <w:top w:w="0" w:type="dxa"/>
              <w:left w:w="45" w:type="dxa"/>
              <w:bottom w:w="0" w:type="dxa"/>
              <w:right w:w="45" w:type="dxa"/>
            </w:tcMar>
          </w:tcPr>
          <w:p w:rsidR="003F2780" w:rsidRDefault="008F3083">
            <w:pPr>
              <w:spacing w:after="0" w:line="240" w:lineRule="auto"/>
            </w:pPr>
            <w:r>
              <w:t>Calendar</w:t>
            </w:r>
            <w:r>
              <w:br/>
              <w:t>Data collection</w:t>
            </w:r>
          </w:p>
        </w:tc>
      </w:tr>
      <w:tr w:rsidR="003F2780">
        <w:trPr>
          <w:trHeight w:val="300"/>
        </w:trPr>
        <w:tc>
          <w:tcPr>
            <w:tcW w:w="3232" w:type="dxa"/>
            <w:shd w:val="clear" w:color="auto" w:fill="E7E6E6"/>
            <w:tcMar>
              <w:top w:w="0" w:type="dxa"/>
              <w:left w:w="45" w:type="dxa"/>
              <w:bottom w:w="0" w:type="dxa"/>
              <w:right w:w="45" w:type="dxa"/>
            </w:tcMar>
          </w:tcPr>
          <w:p w:rsidR="003F2780" w:rsidRDefault="008F3083">
            <w:pPr>
              <w:spacing w:after="0" w:line="240" w:lineRule="auto"/>
            </w:pPr>
            <w:r>
              <w:t>3.d. Data release calendar</w:t>
            </w:r>
          </w:p>
        </w:tc>
        <w:tc>
          <w:tcPr>
            <w:tcW w:w="5310" w:type="dxa"/>
            <w:shd w:val="clear" w:color="auto" w:fill="E7E6E6"/>
            <w:tcMar>
              <w:top w:w="0" w:type="dxa"/>
              <w:left w:w="45" w:type="dxa"/>
              <w:bottom w:w="0" w:type="dxa"/>
              <w:right w:w="45" w:type="dxa"/>
            </w:tcMar>
          </w:tcPr>
          <w:p w:rsidR="003F2780" w:rsidRDefault="008F3083">
            <w:pPr>
              <w:spacing w:after="0" w:line="240" w:lineRule="auto"/>
            </w:pPr>
            <w:r>
              <w:t>Data release</w:t>
            </w:r>
          </w:p>
        </w:tc>
      </w:tr>
      <w:tr w:rsidR="003F2780">
        <w:trPr>
          <w:trHeight w:val="300"/>
        </w:trPr>
        <w:tc>
          <w:tcPr>
            <w:tcW w:w="3232" w:type="dxa"/>
            <w:shd w:val="clear" w:color="auto" w:fill="E7E6E6"/>
            <w:tcMar>
              <w:top w:w="0" w:type="dxa"/>
              <w:left w:w="45" w:type="dxa"/>
              <w:bottom w:w="0" w:type="dxa"/>
              <w:right w:w="45" w:type="dxa"/>
            </w:tcMar>
          </w:tcPr>
          <w:p w:rsidR="003F2780" w:rsidRDefault="008F3083">
            <w:pPr>
              <w:spacing w:after="0" w:line="240" w:lineRule="auto"/>
            </w:pPr>
            <w:r>
              <w:t>3.e. Data providers</w:t>
            </w:r>
          </w:p>
        </w:tc>
        <w:tc>
          <w:tcPr>
            <w:tcW w:w="5310" w:type="dxa"/>
            <w:shd w:val="clear" w:color="auto" w:fill="E7E6E6"/>
            <w:tcMar>
              <w:top w:w="0" w:type="dxa"/>
              <w:left w:w="45" w:type="dxa"/>
              <w:bottom w:w="0" w:type="dxa"/>
              <w:right w:w="45" w:type="dxa"/>
            </w:tcMar>
          </w:tcPr>
          <w:p w:rsidR="003F2780" w:rsidRDefault="008F3083">
            <w:pPr>
              <w:spacing w:after="0" w:line="240" w:lineRule="auto"/>
            </w:pPr>
            <w:r>
              <w:t>Data providers</w:t>
            </w:r>
          </w:p>
        </w:tc>
      </w:tr>
      <w:tr w:rsidR="003F2780">
        <w:trPr>
          <w:trHeight w:val="300"/>
        </w:trPr>
        <w:tc>
          <w:tcPr>
            <w:tcW w:w="3232" w:type="dxa"/>
            <w:shd w:val="clear" w:color="auto" w:fill="E7E6E6"/>
            <w:tcMar>
              <w:top w:w="0" w:type="dxa"/>
              <w:left w:w="45" w:type="dxa"/>
              <w:bottom w:w="0" w:type="dxa"/>
              <w:right w:w="45" w:type="dxa"/>
            </w:tcMar>
          </w:tcPr>
          <w:p w:rsidR="003F2780" w:rsidRDefault="008F3083">
            <w:pPr>
              <w:spacing w:after="0" w:line="240" w:lineRule="auto"/>
            </w:pPr>
            <w:r>
              <w:t>3.f. Data compilers</w:t>
            </w:r>
          </w:p>
        </w:tc>
        <w:tc>
          <w:tcPr>
            <w:tcW w:w="5310" w:type="dxa"/>
            <w:shd w:val="clear" w:color="auto" w:fill="E7E6E6"/>
            <w:tcMar>
              <w:top w:w="0" w:type="dxa"/>
              <w:left w:w="45" w:type="dxa"/>
              <w:bottom w:w="0" w:type="dxa"/>
              <w:right w:w="45" w:type="dxa"/>
            </w:tcMar>
          </w:tcPr>
          <w:p w:rsidR="003F2780" w:rsidRDefault="008F3083">
            <w:pPr>
              <w:spacing w:after="0" w:line="240" w:lineRule="auto"/>
            </w:pPr>
            <w:r>
              <w:t>Data compilers</w:t>
            </w:r>
          </w:p>
        </w:tc>
      </w:tr>
      <w:tr w:rsidR="003F2780">
        <w:trPr>
          <w:trHeight w:val="300"/>
        </w:trPr>
        <w:tc>
          <w:tcPr>
            <w:tcW w:w="3232" w:type="dxa"/>
            <w:shd w:val="clear" w:color="auto" w:fill="E7E6E6"/>
            <w:tcMar>
              <w:top w:w="0" w:type="dxa"/>
              <w:left w:w="45" w:type="dxa"/>
              <w:bottom w:w="0" w:type="dxa"/>
              <w:right w:w="45" w:type="dxa"/>
            </w:tcMar>
          </w:tcPr>
          <w:p w:rsidR="003F2780" w:rsidRDefault="008F3083">
            <w:pPr>
              <w:spacing w:after="0" w:line="240" w:lineRule="auto"/>
            </w:pPr>
            <w:r>
              <w:t>3.g. Institutional mandate</w:t>
            </w:r>
          </w:p>
        </w:tc>
        <w:tc>
          <w:tcPr>
            <w:tcW w:w="5310" w:type="dxa"/>
            <w:shd w:val="clear" w:color="auto" w:fill="E7E6E6"/>
            <w:tcMar>
              <w:top w:w="0" w:type="dxa"/>
              <w:left w:w="45" w:type="dxa"/>
              <w:bottom w:w="0" w:type="dxa"/>
              <w:right w:w="45" w:type="dxa"/>
            </w:tcMar>
          </w:tcPr>
          <w:p w:rsidR="003F2780" w:rsidRDefault="003F2780">
            <w:pPr>
              <w:spacing w:after="0" w:line="240" w:lineRule="auto"/>
            </w:pPr>
          </w:p>
        </w:tc>
      </w:tr>
      <w:tr w:rsidR="003F2780">
        <w:trPr>
          <w:trHeight w:val="300"/>
        </w:trPr>
        <w:tc>
          <w:tcPr>
            <w:tcW w:w="3232" w:type="dxa"/>
            <w:shd w:val="clear" w:color="auto" w:fill="E7E6E6"/>
            <w:tcMar>
              <w:top w:w="0" w:type="dxa"/>
              <w:left w:w="45" w:type="dxa"/>
              <w:bottom w:w="0" w:type="dxa"/>
              <w:right w:w="45" w:type="dxa"/>
            </w:tcMar>
          </w:tcPr>
          <w:p w:rsidR="003F2780" w:rsidRDefault="008F3083">
            <w:pPr>
              <w:spacing w:after="0" w:line="240" w:lineRule="auto"/>
            </w:pPr>
            <w:r>
              <w:t>4.a. Rationale</w:t>
            </w:r>
          </w:p>
        </w:tc>
        <w:tc>
          <w:tcPr>
            <w:tcW w:w="5310" w:type="dxa"/>
            <w:shd w:val="clear" w:color="auto" w:fill="E7E6E6"/>
            <w:tcMar>
              <w:top w:w="0" w:type="dxa"/>
              <w:left w:w="45" w:type="dxa"/>
              <w:bottom w:w="0" w:type="dxa"/>
              <w:right w:w="45" w:type="dxa"/>
            </w:tcMar>
          </w:tcPr>
          <w:p w:rsidR="003F2780" w:rsidRDefault="008F3083">
            <w:pPr>
              <w:spacing w:after="0" w:line="240" w:lineRule="auto"/>
            </w:pPr>
            <w:r>
              <w:t>Rationale</w:t>
            </w:r>
          </w:p>
        </w:tc>
      </w:tr>
      <w:tr w:rsidR="003F2780">
        <w:trPr>
          <w:trHeight w:val="300"/>
        </w:trPr>
        <w:tc>
          <w:tcPr>
            <w:tcW w:w="3232" w:type="dxa"/>
            <w:shd w:val="clear" w:color="auto" w:fill="E7E6E6"/>
            <w:tcMar>
              <w:top w:w="0" w:type="dxa"/>
              <w:left w:w="45" w:type="dxa"/>
              <w:bottom w:w="0" w:type="dxa"/>
              <w:right w:w="45" w:type="dxa"/>
            </w:tcMar>
          </w:tcPr>
          <w:p w:rsidR="003F2780" w:rsidRDefault="008F3083">
            <w:pPr>
              <w:spacing w:after="0" w:line="240" w:lineRule="auto"/>
            </w:pPr>
            <w:r>
              <w:t>4.b. Comment and limitations</w:t>
            </w:r>
          </w:p>
        </w:tc>
        <w:tc>
          <w:tcPr>
            <w:tcW w:w="5310" w:type="dxa"/>
            <w:shd w:val="clear" w:color="auto" w:fill="E7E6E6"/>
            <w:tcMar>
              <w:top w:w="0" w:type="dxa"/>
              <w:left w:w="45" w:type="dxa"/>
              <w:bottom w:w="0" w:type="dxa"/>
              <w:right w:w="45" w:type="dxa"/>
            </w:tcMar>
          </w:tcPr>
          <w:p w:rsidR="003F2780" w:rsidRDefault="008F3083">
            <w:pPr>
              <w:spacing w:after="0" w:line="240" w:lineRule="auto"/>
            </w:pPr>
            <w:r>
              <w:t>Comments and limitations</w:t>
            </w:r>
          </w:p>
        </w:tc>
      </w:tr>
      <w:tr w:rsidR="003F2780">
        <w:trPr>
          <w:trHeight w:val="300"/>
        </w:trPr>
        <w:tc>
          <w:tcPr>
            <w:tcW w:w="3232" w:type="dxa"/>
            <w:shd w:val="clear" w:color="auto" w:fill="E7E6E6"/>
            <w:tcMar>
              <w:top w:w="0" w:type="dxa"/>
              <w:left w:w="45" w:type="dxa"/>
              <w:bottom w:w="0" w:type="dxa"/>
              <w:right w:w="45" w:type="dxa"/>
            </w:tcMar>
          </w:tcPr>
          <w:p w:rsidR="003F2780" w:rsidRDefault="008F3083">
            <w:pPr>
              <w:spacing w:after="0" w:line="240" w:lineRule="auto"/>
            </w:pPr>
            <w:r>
              <w:t>4.c. Method of computation</w:t>
            </w:r>
          </w:p>
        </w:tc>
        <w:tc>
          <w:tcPr>
            <w:tcW w:w="5310" w:type="dxa"/>
            <w:shd w:val="clear" w:color="auto" w:fill="E7E6E6"/>
            <w:tcMar>
              <w:top w:w="0" w:type="dxa"/>
              <w:left w:w="45" w:type="dxa"/>
              <w:bottom w:w="0" w:type="dxa"/>
              <w:right w:w="45" w:type="dxa"/>
            </w:tcMar>
          </w:tcPr>
          <w:p w:rsidR="003F2780" w:rsidRDefault="008F3083">
            <w:pPr>
              <w:spacing w:after="0" w:line="240" w:lineRule="auto"/>
            </w:pPr>
            <w:r>
              <w:t>Methodology</w:t>
            </w:r>
            <w:r>
              <w:br/>
              <w:t>Computation method</w:t>
            </w:r>
          </w:p>
        </w:tc>
      </w:tr>
      <w:tr w:rsidR="003F2780">
        <w:trPr>
          <w:trHeight w:val="300"/>
        </w:trPr>
        <w:tc>
          <w:tcPr>
            <w:tcW w:w="3232" w:type="dxa"/>
            <w:shd w:val="clear" w:color="auto" w:fill="E7E6E6"/>
            <w:tcMar>
              <w:top w:w="0" w:type="dxa"/>
              <w:left w:w="45" w:type="dxa"/>
              <w:bottom w:w="0" w:type="dxa"/>
              <w:right w:w="45" w:type="dxa"/>
            </w:tcMar>
          </w:tcPr>
          <w:p w:rsidR="003F2780" w:rsidRDefault="008F3083">
            <w:pPr>
              <w:spacing w:after="0" w:line="240" w:lineRule="auto"/>
            </w:pPr>
            <w:r>
              <w:t>4.d. Validation</w:t>
            </w:r>
          </w:p>
        </w:tc>
        <w:tc>
          <w:tcPr>
            <w:tcW w:w="5310" w:type="dxa"/>
            <w:shd w:val="clear" w:color="auto" w:fill="E7E6E6"/>
            <w:tcMar>
              <w:top w:w="0" w:type="dxa"/>
              <w:left w:w="45" w:type="dxa"/>
              <w:bottom w:w="0" w:type="dxa"/>
              <w:right w:w="45" w:type="dxa"/>
            </w:tcMar>
          </w:tcPr>
          <w:p w:rsidR="003F2780" w:rsidRDefault="003F2780">
            <w:pPr>
              <w:spacing w:after="0" w:line="240" w:lineRule="auto"/>
            </w:pPr>
          </w:p>
        </w:tc>
      </w:tr>
      <w:tr w:rsidR="003F2780">
        <w:trPr>
          <w:trHeight w:val="300"/>
        </w:trPr>
        <w:tc>
          <w:tcPr>
            <w:tcW w:w="3232" w:type="dxa"/>
            <w:shd w:val="clear" w:color="auto" w:fill="E7E6E6"/>
            <w:tcMar>
              <w:top w:w="0" w:type="dxa"/>
              <w:left w:w="45" w:type="dxa"/>
              <w:bottom w:w="0" w:type="dxa"/>
              <w:right w:w="45" w:type="dxa"/>
            </w:tcMar>
          </w:tcPr>
          <w:p w:rsidR="003F2780" w:rsidRDefault="008F3083">
            <w:pPr>
              <w:spacing w:after="0" w:line="240" w:lineRule="auto"/>
            </w:pPr>
            <w:r>
              <w:t>4.e. Adjustments</w:t>
            </w:r>
          </w:p>
        </w:tc>
        <w:tc>
          <w:tcPr>
            <w:tcW w:w="5310" w:type="dxa"/>
            <w:shd w:val="clear" w:color="auto" w:fill="E7E6E6"/>
            <w:tcMar>
              <w:top w:w="0" w:type="dxa"/>
              <w:left w:w="45" w:type="dxa"/>
              <w:bottom w:w="0" w:type="dxa"/>
              <w:right w:w="45" w:type="dxa"/>
            </w:tcMar>
          </w:tcPr>
          <w:p w:rsidR="003F2780" w:rsidRDefault="003F2780">
            <w:pPr>
              <w:spacing w:after="0" w:line="240" w:lineRule="auto"/>
            </w:pPr>
          </w:p>
        </w:tc>
      </w:tr>
      <w:tr w:rsidR="003F2780">
        <w:trPr>
          <w:trHeight w:val="300"/>
        </w:trPr>
        <w:tc>
          <w:tcPr>
            <w:tcW w:w="3232" w:type="dxa"/>
            <w:shd w:val="clear" w:color="auto" w:fill="E7E6E6"/>
            <w:tcMar>
              <w:top w:w="0" w:type="dxa"/>
              <w:left w:w="45" w:type="dxa"/>
              <w:bottom w:w="0" w:type="dxa"/>
              <w:right w:w="45" w:type="dxa"/>
            </w:tcMar>
          </w:tcPr>
          <w:p w:rsidR="003F2780" w:rsidRDefault="008F3083">
            <w:pPr>
              <w:spacing w:after="0" w:line="240" w:lineRule="auto"/>
            </w:pPr>
            <w:r>
              <w:t>4.f. Treatment of missing values (i) at country level and (ii) at regional level.</w:t>
            </w:r>
          </w:p>
        </w:tc>
        <w:tc>
          <w:tcPr>
            <w:tcW w:w="5310" w:type="dxa"/>
            <w:shd w:val="clear" w:color="auto" w:fill="E7E6E6"/>
            <w:tcMar>
              <w:top w:w="0" w:type="dxa"/>
              <w:left w:w="45" w:type="dxa"/>
              <w:bottom w:w="0" w:type="dxa"/>
              <w:right w:w="45" w:type="dxa"/>
            </w:tcMar>
          </w:tcPr>
          <w:p w:rsidR="003F2780" w:rsidRDefault="008F3083">
            <w:pPr>
              <w:spacing w:after="0" w:line="240" w:lineRule="auto"/>
            </w:pPr>
            <w:r>
              <w:t>Treatment of missing values</w:t>
            </w:r>
            <w:r>
              <w:br/>
              <w:t xml:space="preserve">* At country level: </w:t>
            </w:r>
            <w:r>
              <w:br/>
              <w:t xml:space="preserve">* At regional or global levels: </w:t>
            </w:r>
          </w:p>
        </w:tc>
      </w:tr>
      <w:tr w:rsidR="003F2780">
        <w:trPr>
          <w:trHeight w:val="300"/>
        </w:trPr>
        <w:tc>
          <w:tcPr>
            <w:tcW w:w="3232" w:type="dxa"/>
            <w:shd w:val="clear" w:color="auto" w:fill="E7E6E6"/>
            <w:tcMar>
              <w:top w:w="0" w:type="dxa"/>
              <w:left w:w="45" w:type="dxa"/>
              <w:bottom w:w="0" w:type="dxa"/>
              <w:right w:w="45" w:type="dxa"/>
            </w:tcMar>
          </w:tcPr>
          <w:p w:rsidR="003F2780" w:rsidRDefault="008F3083">
            <w:pPr>
              <w:spacing w:after="0" w:line="240" w:lineRule="auto"/>
            </w:pPr>
            <w:r>
              <w:t>4.g. Regional aggregations</w:t>
            </w:r>
          </w:p>
        </w:tc>
        <w:tc>
          <w:tcPr>
            <w:tcW w:w="5310" w:type="dxa"/>
            <w:shd w:val="clear" w:color="auto" w:fill="E7E6E6"/>
            <w:tcMar>
              <w:top w:w="0" w:type="dxa"/>
              <w:left w:w="45" w:type="dxa"/>
              <w:bottom w:w="0" w:type="dxa"/>
              <w:right w:w="45" w:type="dxa"/>
            </w:tcMar>
          </w:tcPr>
          <w:p w:rsidR="003F2780" w:rsidRDefault="008F3083">
            <w:pPr>
              <w:spacing w:after="0" w:line="240" w:lineRule="auto"/>
            </w:pPr>
            <w:r>
              <w:t>Regional aggregates</w:t>
            </w:r>
          </w:p>
        </w:tc>
      </w:tr>
      <w:tr w:rsidR="003F2780">
        <w:trPr>
          <w:trHeight w:val="300"/>
        </w:trPr>
        <w:tc>
          <w:tcPr>
            <w:tcW w:w="3232" w:type="dxa"/>
            <w:shd w:val="clear" w:color="auto" w:fill="E7E6E6"/>
            <w:tcMar>
              <w:top w:w="0" w:type="dxa"/>
              <w:left w:w="45" w:type="dxa"/>
              <w:bottom w:w="0" w:type="dxa"/>
              <w:right w:w="45" w:type="dxa"/>
            </w:tcMar>
          </w:tcPr>
          <w:p w:rsidR="003F2780" w:rsidRDefault="008F3083">
            <w:pPr>
              <w:spacing w:after="0" w:line="240" w:lineRule="auto"/>
            </w:pPr>
            <w:r>
              <w:t>4.h. Methods and guidance available to countries for the compilation of the data at the national level</w:t>
            </w:r>
          </w:p>
        </w:tc>
        <w:tc>
          <w:tcPr>
            <w:tcW w:w="5310" w:type="dxa"/>
            <w:shd w:val="clear" w:color="auto" w:fill="E7E6E6"/>
            <w:tcMar>
              <w:top w:w="0" w:type="dxa"/>
              <w:left w:w="45" w:type="dxa"/>
              <w:bottom w:w="0" w:type="dxa"/>
              <w:right w:w="45" w:type="dxa"/>
            </w:tcMar>
          </w:tcPr>
          <w:p w:rsidR="003F2780" w:rsidRDefault="008F3083">
            <w:pPr>
              <w:spacing w:after="0" w:line="240" w:lineRule="auto"/>
            </w:pPr>
            <w:r>
              <w:t>Methods and guidance available to countries for the compilation of the data at the national level</w:t>
            </w:r>
          </w:p>
        </w:tc>
      </w:tr>
      <w:tr w:rsidR="003F2780">
        <w:trPr>
          <w:trHeight w:val="300"/>
        </w:trPr>
        <w:tc>
          <w:tcPr>
            <w:tcW w:w="3232" w:type="dxa"/>
            <w:shd w:val="clear" w:color="auto" w:fill="E7E6E6"/>
            <w:tcMar>
              <w:top w:w="0" w:type="dxa"/>
              <w:left w:w="45" w:type="dxa"/>
              <w:bottom w:w="0" w:type="dxa"/>
              <w:right w:w="45" w:type="dxa"/>
            </w:tcMar>
          </w:tcPr>
          <w:p w:rsidR="003F2780" w:rsidRDefault="008F3083">
            <w:pPr>
              <w:spacing w:after="0" w:line="240" w:lineRule="auto"/>
            </w:pPr>
            <w:r>
              <w:t>4.i Quality management</w:t>
            </w:r>
          </w:p>
        </w:tc>
        <w:tc>
          <w:tcPr>
            <w:tcW w:w="5310" w:type="dxa"/>
            <w:shd w:val="clear" w:color="auto" w:fill="E7E6E6"/>
            <w:tcMar>
              <w:top w:w="0" w:type="dxa"/>
              <w:left w:w="45" w:type="dxa"/>
              <w:bottom w:w="0" w:type="dxa"/>
              <w:right w:w="45" w:type="dxa"/>
            </w:tcMar>
          </w:tcPr>
          <w:p w:rsidR="003F2780" w:rsidRDefault="003F2780">
            <w:pPr>
              <w:spacing w:after="0" w:line="240" w:lineRule="auto"/>
            </w:pPr>
          </w:p>
        </w:tc>
      </w:tr>
      <w:tr w:rsidR="003F2780">
        <w:trPr>
          <w:trHeight w:val="300"/>
        </w:trPr>
        <w:tc>
          <w:tcPr>
            <w:tcW w:w="3232" w:type="dxa"/>
            <w:shd w:val="clear" w:color="auto" w:fill="E7E6E6"/>
            <w:tcMar>
              <w:top w:w="0" w:type="dxa"/>
              <w:left w:w="45" w:type="dxa"/>
              <w:bottom w:w="0" w:type="dxa"/>
              <w:right w:w="45" w:type="dxa"/>
            </w:tcMar>
          </w:tcPr>
          <w:p w:rsidR="003F2780" w:rsidRDefault="008F3083">
            <w:pPr>
              <w:spacing w:after="0" w:line="240" w:lineRule="auto"/>
            </w:pPr>
            <w:r>
              <w:t>4.j Quality assurance</w:t>
            </w:r>
          </w:p>
        </w:tc>
        <w:tc>
          <w:tcPr>
            <w:tcW w:w="5310" w:type="dxa"/>
            <w:shd w:val="clear" w:color="auto" w:fill="E7E6E6"/>
            <w:tcMar>
              <w:top w:w="0" w:type="dxa"/>
              <w:left w:w="45" w:type="dxa"/>
              <w:bottom w:w="0" w:type="dxa"/>
              <w:right w:w="45" w:type="dxa"/>
            </w:tcMar>
          </w:tcPr>
          <w:p w:rsidR="003F2780" w:rsidRDefault="008F3083">
            <w:pPr>
              <w:spacing w:after="0" w:line="240" w:lineRule="auto"/>
            </w:pPr>
            <w:r>
              <w:t>Quality assurance</w:t>
            </w:r>
          </w:p>
        </w:tc>
      </w:tr>
      <w:tr w:rsidR="003F2780">
        <w:trPr>
          <w:trHeight w:val="300"/>
        </w:trPr>
        <w:tc>
          <w:tcPr>
            <w:tcW w:w="3232" w:type="dxa"/>
            <w:shd w:val="clear" w:color="auto" w:fill="E7E6E6"/>
            <w:tcMar>
              <w:top w:w="0" w:type="dxa"/>
              <w:left w:w="45" w:type="dxa"/>
              <w:bottom w:w="0" w:type="dxa"/>
              <w:right w:w="45" w:type="dxa"/>
            </w:tcMar>
          </w:tcPr>
          <w:p w:rsidR="003F2780" w:rsidRDefault="008F3083">
            <w:pPr>
              <w:spacing w:after="0" w:line="240" w:lineRule="auto"/>
            </w:pPr>
            <w:r>
              <w:t>4.k Quality assessment</w:t>
            </w:r>
          </w:p>
        </w:tc>
        <w:tc>
          <w:tcPr>
            <w:tcW w:w="5310" w:type="dxa"/>
            <w:shd w:val="clear" w:color="auto" w:fill="E7E6E6"/>
            <w:tcMar>
              <w:top w:w="0" w:type="dxa"/>
              <w:left w:w="45" w:type="dxa"/>
              <w:bottom w:w="0" w:type="dxa"/>
              <w:right w:w="45" w:type="dxa"/>
            </w:tcMar>
          </w:tcPr>
          <w:p w:rsidR="003F2780" w:rsidRDefault="003F2780">
            <w:pPr>
              <w:spacing w:after="0" w:line="240" w:lineRule="auto"/>
            </w:pPr>
          </w:p>
        </w:tc>
      </w:tr>
      <w:tr w:rsidR="003F2780">
        <w:trPr>
          <w:trHeight w:val="300"/>
        </w:trPr>
        <w:tc>
          <w:tcPr>
            <w:tcW w:w="3232" w:type="dxa"/>
            <w:shd w:val="clear" w:color="auto" w:fill="E7E6E6"/>
            <w:tcMar>
              <w:top w:w="0" w:type="dxa"/>
              <w:left w:w="45" w:type="dxa"/>
              <w:bottom w:w="0" w:type="dxa"/>
              <w:right w:w="45" w:type="dxa"/>
            </w:tcMar>
          </w:tcPr>
          <w:p w:rsidR="003F2780" w:rsidRDefault="008F3083">
            <w:pPr>
              <w:spacing w:after="0" w:line="240" w:lineRule="auto"/>
            </w:pPr>
            <w:r>
              <w:t>5. Data availability and disaggregation</w:t>
            </w:r>
          </w:p>
        </w:tc>
        <w:tc>
          <w:tcPr>
            <w:tcW w:w="5310" w:type="dxa"/>
            <w:shd w:val="clear" w:color="auto" w:fill="E7E6E6"/>
            <w:tcMar>
              <w:top w:w="0" w:type="dxa"/>
              <w:left w:w="45" w:type="dxa"/>
              <w:bottom w:w="0" w:type="dxa"/>
              <w:right w:w="45" w:type="dxa"/>
            </w:tcMar>
          </w:tcPr>
          <w:p w:rsidR="003F2780" w:rsidRDefault="008F3083">
            <w:pPr>
              <w:spacing w:after="0" w:line="240" w:lineRule="auto"/>
            </w:pPr>
            <w:r>
              <w:t>Data availability</w:t>
            </w:r>
            <w:r>
              <w:br/>
              <w:t>Disaggregation</w:t>
            </w:r>
          </w:p>
        </w:tc>
      </w:tr>
      <w:tr w:rsidR="003F2780">
        <w:trPr>
          <w:trHeight w:val="300"/>
        </w:trPr>
        <w:tc>
          <w:tcPr>
            <w:tcW w:w="3232" w:type="dxa"/>
            <w:shd w:val="clear" w:color="auto" w:fill="E7E6E6"/>
            <w:tcMar>
              <w:top w:w="0" w:type="dxa"/>
              <w:left w:w="45" w:type="dxa"/>
              <w:bottom w:w="0" w:type="dxa"/>
              <w:right w:w="45" w:type="dxa"/>
            </w:tcMar>
          </w:tcPr>
          <w:p w:rsidR="003F2780" w:rsidRDefault="008F3083">
            <w:pPr>
              <w:spacing w:after="0" w:line="240" w:lineRule="auto"/>
            </w:pPr>
            <w:r>
              <w:t>6. Comparability / Deviation from international standards</w:t>
            </w:r>
          </w:p>
        </w:tc>
        <w:tc>
          <w:tcPr>
            <w:tcW w:w="5310" w:type="dxa"/>
            <w:shd w:val="clear" w:color="auto" w:fill="E7E6E6"/>
            <w:tcMar>
              <w:top w:w="0" w:type="dxa"/>
              <w:left w:w="45" w:type="dxa"/>
              <w:bottom w:w="0" w:type="dxa"/>
              <w:right w:w="45" w:type="dxa"/>
            </w:tcMar>
          </w:tcPr>
          <w:p w:rsidR="003F2780" w:rsidRDefault="008F3083">
            <w:pPr>
              <w:spacing w:after="0" w:line="240" w:lineRule="auto"/>
            </w:pPr>
            <w:r>
              <w:t>Sources of discrepancies</w:t>
            </w:r>
          </w:p>
        </w:tc>
      </w:tr>
      <w:tr w:rsidR="003F2780">
        <w:trPr>
          <w:trHeight w:val="300"/>
        </w:trPr>
        <w:tc>
          <w:tcPr>
            <w:tcW w:w="3232" w:type="dxa"/>
            <w:shd w:val="clear" w:color="auto" w:fill="E7E6E6"/>
            <w:tcMar>
              <w:top w:w="0" w:type="dxa"/>
              <w:left w:w="45" w:type="dxa"/>
              <w:bottom w:w="0" w:type="dxa"/>
              <w:right w:w="45" w:type="dxa"/>
            </w:tcMar>
          </w:tcPr>
          <w:p w:rsidR="003F2780" w:rsidRDefault="008F3083">
            <w:pPr>
              <w:spacing w:after="0" w:line="240" w:lineRule="auto"/>
            </w:pPr>
            <w:r>
              <w:t>7. References and Documentation</w:t>
            </w:r>
          </w:p>
        </w:tc>
        <w:tc>
          <w:tcPr>
            <w:tcW w:w="5310" w:type="dxa"/>
            <w:shd w:val="clear" w:color="auto" w:fill="E7E6E6"/>
            <w:tcMar>
              <w:top w:w="0" w:type="dxa"/>
              <w:left w:w="45" w:type="dxa"/>
              <w:bottom w:w="0" w:type="dxa"/>
              <w:right w:w="45" w:type="dxa"/>
            </w:tcMar>
          </w:tcPr>
          <w:p w:rsidR="003F2780" w:rsidRDefault="008F3083">
            <w:pPr>
              <w:spacing w:after="0" w:line="240" w:lineRule="auto"/>
            </w:pPr>
            <w:r>
              <w:t>References</w:t>
            </w:r>
            <w:r>
              <w:br/>
              <w:t>URL</w:t>
            </w:r>
            <w:r>
              <w:br/>
              <w:t>References</w:t>
            </w:r>
          </w:p>
        </w:tc>
      </w:tr>
    </w:tbl>
    <w:p w:rsidR="003F2780" w:rsidRDefault="003F2780">
      <w:pPr>
        <w:pBdr>
          <w:top w:val="nil"/>
          <w:left w:val="nil"/>
          <w:bottom w:val="nil"/>
          <w:right w:val="nil"/>
          <w:between w:val="nil"/>
        </w:pBdr>
        <w:shd w:val="clear" w:color="auto" w:fill="FFFFFF"/>
        <w:spacing w:after="0" w:line="276" w:lineRule="auto"/>
        <w:rPr>
          <w:color w:val="4A4A4A"/>
          <w:sz w:val="21"/>
          <w:szCs w:val="21"/>
        </w:rPr>
      </w:pPr>
    </w:p>
    <w:p w:rsidR="003F2780" w:rsidRDefault="008F3083">
      <w:pPr>
        <w:pBdr>
          <w:top w:val="nil"/>
          <w:left w:val="nil"/>
          <w:bottom w:val="nil"/>
          <w:right w:val="nil"/>
          <w:between w:val="nil"/>
        </w:pBdr>
        <w:shd w:val="clear" w:color="auto" w:fill="F5F5F5"/>
        <w:spacing w:after="0" w:line="276" w:lineRule="auto"/>
        <w:rPr>
          <w:color w:val="1C75BC"/>
          <w:sz w:val="28"/>
          <w:szCs w:val="28"/>
        </w:rPr>
      </w:pPr>
      <w:bookmarkStart w:id="16" w:name="_1ksv4uv" w:colFirst="0" w:colLast="0"/>
      <w:bookmarkEnd w:id="16"/>
      <w:r>
        <w:rPr>
          <w:color w:val="1C75BC"/>
          <w:sz w:val="28"/>
          <w:szCs w:val="28"/>
        </w:rPr>
        <w:t>C. Mapping of IAEG-SDG File Format to SDMX Detailed Concepts</w:t>
      </w:r>
    </w:p>
    <w:p w:rsidR="003F2780" w:rsidRDefault="008F3083">
      <w:pPr>
        <w:pBdr>
          <w:top w:val="nil"/>
          <w:left w:val="nil"/>
          <w:bottom w:val="nil"/>
          <w:right w:val="nil"/>
          <w:between w:val="nil"/>
        </w:pBdr>
        <w:shd w:val="clear" w:color="auto" w:fill="FFFFFF"/>
        <w:spacing w:after="0" w:line="276" w:lineRule="auto"/>
        <w:rPr>
          <w:color w:val="4A4A4A"/>
          <w:sz w:val="21"/>
          <w:szCs w:val="21"/>
        </w:rPr>
      </w:pPr>
      <w:r>
        <w:rPr>
          <w:color w:val="4A4A4A"/>
          <w:sz w:val="21"/>
          <w:szCs w:val="21"/>
        </w:rPr>
        <w:t>This is an aid to format metadata previously submitted in the IAEG-SDG file format into the format of the SDMX metadata concepts. In some cases, these headers and sections of the IAEG-SDG format do not correspond perfectly to the SDMX concepts. Consult the SDMX metadata concept definitions.</w:t>
      </w:r>
    </w:p>
    <w:p w:rsidR="003F2780" w:rsidRDefault="003F2780">
      <w:pPr>
        <w:pBdr>
          <w:top w:val="nil"/>
          <w:left w:val="nil"/>
          <w:bottom w:val="nil"/>
          <w:right w:val="nil"/>
          <w:between w:val="nil"/>
        </w:pBdr>
        <w:shd w:val="clear" w:color="auto" w:fill="FFFFFF"/>
        <w:spacing w:after="0" w:line="276" w:lineRule="auto"/>
        <w:rPr>
          <w:color w:val="4A4A4A"/>
          <w:sz w:val="21"/>
          <w:szCs w:val="21"/>
        </w:rPr>
      </w:pPr>
    </w:p>
    <w:tbl>
      <w:tblPr>
        <w:tblStyle w:val="a8"/>
        <w:tblW w:w="85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140"/>
        <w:gridCol w:w="4410"/>
      </w:tblGrid>
      <w:tr w:rsidR="003F2780">
        <w:trPr>
          <w:trHeight w:val="300"/>
        </w:trPr>
        <w:tc>
          <w:tcPr>
            <w:tcW w:w="4140" w:type="dxa"/>
            <w:shd w:val="clear" w:color="auto" w:fill="BDD7EE"/>
            <w:tcMar>
              <w:top w:w="0" w:type="dxa"/>
              <w:left w:w="45" w:type="dxa"/>
              <w:bottom w:w="0" w:type="dxa"/>
              <w:right w:w="45" w:type="dxa"/>
            </w:tcMar>
          </w:tcPr>
          <w:p w:rsidR="003F2780" w:rsidRDefault="008F3083">
            <w:pPr>
              <w:spacing w:after="0" w:line="240" w:lineRule="auto"/>
              <w:rPr>
                <w:color w:val="000000"/>
              </w:rPr>
            </w:pPr>
            <w:r>
              <w:rPr>
                <w:color w:val="000000"/>
              </w:rPr>
              <w:t>IAEG-SDG Headers and Subheaders</w:t>
            </w:r>
          </w:p>
        </w:tc>
        <w:tc>
          <w:tcPr>
            <w:tcW w:w="4410" w:type="dxa"/>
            <w:shd w:val="clear" w:color="auto" w:fill="BDD7EE"/>
          </w:tcPr>
          <w:p w:rsidR="003F2780" w:rsidRDefault="008F3083">
            <w:pPr>
              <w:spacing w:after="0" w:line="240" w:lineRule="auto"/>
              <w:rPr>
                <w:color w:val="000000"/>
              </w:rPr>
            </w:pPr>
            <w:r>
              <w:rPr>
                <w:color w:val="000000"/>
              </w:rPr>
              <w:t>Detailed Metadata Concept Name</w:t>
            </w:r>
          </w:p>
        </w:tc>
      </w:tr>
      <w:tr w:rsidR="003F2780">
        <w:trPr>
          <w:trHeight w:val="300"/>
        </w:trPr>
        <w:tc>
          <w:tcPr>
            <w:tcW w:w="4140" w:type="dxa"/>
            <w:shd w:val="clear" w:color="auto" w:fill="E7E6E6"/>
            <w:tcMar>
              <w:top w:w="0" w:type="dxa"/>
              <w:left w:w="45" w:type="dxa"/>
              <w:bottom w:w="0" w:type="dxa"/>
              <w:right w:w="45" w:type="dxa"/>
            </w:tcMar>
          </w:tcPr>
          <w:p w:rsidR="003F2780" w:rsidRDefault="008F3083">
            <w:pPr>
              <w:spacing w:after="0" w:line="240" w:lineRule="auto"/>
              <w:rPr>
                <w:color w:val="000000"/>
              </w:rPr>
            </w:pPr>
            <w:r>
              <w:rPr>
                <w:color w:val="000000"/>
              </w:rPr>
              <w:t>Last updated: [DATE]</w:t>
            </w:r>
          </w:p>
        </w:tc>
        <w:tc>
          <w:tcPr>
            <w:tcW w:w="4410" w:type="dxa"/>
            <w:shd w:val="clear" w:color="auto" w:fill="E7E6E6"/>
          </w:tcPr>
          <w:p w:rsidR="003F2780" w:rsidRDefault="008F3083">
            <w:pPr>
              <w:spacing w:after="0" w:line="240" w:lineRule="auto"/>
              <w:rPr>
                <w:color w:val="000000"/>
              </w:rPr>
            </w:pPr>
            <w:r>
              <w:rPr>
                <w:color w:val="000000"/>
              </w:rPr>
              <w:t>0.e. Metadata update</w:t>
            </w:r>
          </w:p>
        </w:tc>
      </w:tr>
      <w:tr w:rsidR="003F2780">
        <w:trPr>
          <w:trHeight w:val="300"/>
        </w:trPr>
        <w:tc>
          <w:tcPr>
            <w:tcW w:w="4140" w:type="dxa"/>
            <w:shd w:val="clear" w:color="auto" w:fill="E7E6E6"/>
            <w:tcMar>
              <w:top w:w="0" w:type="dxa"/>
              <w:left w:w="45" w:type="dxa"/>
              <w:bottom w:w="0" w:type="dxa"/>
              <w:right w:w="45" w:type="dxa"/>
            </w:tcMar>
          </w:tcPr>
          <w:p w:rsidR="003F2780" w:rsidRDefault="008F3083">
            <w:pPr>
              <w:spacing w:after="0" w:line="240" w:lineRule="auto"/>
              <w:rPr>
                <w:color w:val="000000"/>
              </w:rPr>
            </w:pPr>
            <w:r>
              <w:rPr>
                <w:color w:val="000000"/>
              </w:rPr>
              <w:t xml:space="preserve">Goal </w:t>
            </w:r>
          </w:p>
        </w:tc>
        <w:tc>
          <w:tcPr>
            <w:tcW w:w="4410" w:type="dxa"/>
            <w:shd w:val="clear" w:color="auto" w:fill="E7E6E6"/>
          </w:tcPr>
          <w:p w:rsidR="003F2780" w:rsidRDefault="008F3083">
            <w:pPr>
              <w:spacing w:after="0" w:line="240" w:lineRule="auto"/>
              <w:rPr>
                <w:color w:val="000000"/>
              </w:rPr>
            </w:pPr>
            <w:r>
              <w:rPr>
                <w:color w:val="000000"/>
              </w:rPr>
              <w:t>0.a. Goal</w:t>
            </w:r>
          </w:p>
        </w:tc>
      </w:tr>
      <w:tr w:rsidR="003F2780">
        <w:trPr>
          <w:trHeight w:val="300"/>
        </w:trPr>
        <w:tc>
          <w:tcPr>
            <w:tcW w:w="4140" w:type="dxa"/>
            <w:shd w:val="clear" w:color="auto" w:fill="E7E6E6"/>
            <w:tcMar>
              <w:top w:w="0" w:type="dxa"/>
              <w:left w:w="45" w:type="dxa"/>
              <w:bottom w:w="0" w:type="dxa"/>
              <w:right w:w="45" w:type="dxa"/>
            </w:tcMar>
          </w:tcPr>
          <w:p w:rsidR="003F2780" w:rsidRDefault="008F3083">
            <w:pPr>
              <w:spacing w:after="0" w:line="240" w:lineRule="auto"/>
              <w:rPr>
                <w:color w:val="000000"/>
              </w:rPr>
            </w:pPr>
            <w:r>
              <w:rPr>
                <w:color w:val="000000"/>
              </w:rPr>
              <w:t xml:space="preserve">Target </w:t>
            </w:r>
          </w:p>
        </w:tc>
        <w:tc>
          <w:tcPr>
            <w:tcW w:w="4410" w:type="dxa"/>
            <w:shd w:val="clear" w:color="auto" w:fill="E7E6E6"/>
          </w:tcPr>
          <w:p w:rsidR="003F2780" w:rsidRDefault="008F3083">
            <w:pPr>
              <w:spacing w:after="0" w:line="240" w:lineRule="auto"/>
              <w:rPr>
                <w:color w:val="000000"/>
              </w:rPr>
            </w:pPr>
            <w:r>
              <w:rPr>
                <w:color w:val="000000"/>
              </w:rPr>
              <w:t>0.b. Target</w:t>
            </w:r>
          </w:p>
        </w:tc>
      </w:tr>
      <w:tr w:rsidR="003F2780">
        <w:trPr>
          <w:trHeight w:val="300"/>
        </w:trPr>
        <w:tc>
          <w:tcPr>
            <w:tcW w:w="4140" w:type="dxa"/>
            <w:shd w:val="clear" w:color="auto" w:fill="E7E6E6"/>
            <w:tcMar>
              <w:top w:w="0" w:type="dxa"/>
              <w:left w:w="45" w:type="dxa"/>
              <w:bottom w:w="0" w:type="dxa"/>
              <w:right w:w="45" w:type="dxa"/>
            </w:tcMar>
          </w:tcPr>
          <w:p w:rsidR="003F2780" w:rsidRDefault="008F3083">
            <w:pPr>
              <w:spacing w:after="0" w:line="240" w:lineRule="auto"/>
              <w:rPr>
                <w:color w:val="000000"/>
              </w:rPr>
            </w:pPr>
            <w:r>
              <w:rPr>
                <w:color w:val="000000"/>
              </w:rPr>
              <w:t>Indicator</w:t>
            </w:r>
          </w:p>
        </w:tc>
        <w:tc>
          <w:tcPr>
            <w:tcW w:w="4410" w:type="dxa"/>
            <w:shd w:val="clear" w:color="auto" w:fill="E7E6E6"/>
          </w:tcPr>
          <w:p w:rsidR="003F2780" w:rsidRDefault="008F3083">
            <w:pPr>
              <w:spacing w:after="0" w:line="240" w:lineRule="auto"/>
              <w:rPr>
                <w:color w:val="000000"/>
              </w:rPr>
            </w:pPr>
            <w:r>
              <w:rPr>
                <w:color w:val="000000"/>
              </w:rPr>
              <w:t>0.c. Indicator</w:t>
            </w:r>
          </w:p>
        </w:tc>
      </w:tr>
      <w:tr w:rsidR="003F2780">
        <w:trPr>
          <w:trHeight w:val="300"/>
        </w:trPr>
        <w:tc>
          <w:tcPr>
            <w:tcW w:w="4140" w:type="dxa"/>
            <w:shd w:val="clear" w:color="auto" w:fill="E7E6E6"/>
            <w:tcMar>
              <w:top w:w="0" w:type="dxa"/>
              <w:left w:w="45" w:type="dxa"/>
              <w:bottom w:w="0" w:type="dxa"/>
              <w:right w:w="45" w:type="dxa"/>
            </w:tcMar>
          </w:tcPr>
          <w:p w:rsidR="003F2780" w:rsidRDefault="003F2780">
            <w:pPr>
              <w:spacing w:after="0" w:line="240" w:lineRule="auto"/>
              <w:rPr>
                <w:color w:val="000000"/>
              </w:rPr>
            </w:pPr>
          </w:p>
        </w:tc>
        <w:tc>
          <w:tcPr>
            <w:tcW w:w="4410" w:type="dxa"/>
            <w:shd w:val="clear" w:color="auto" w:fill="E7E6E6"/>
          </w:tcPr>
          <w:p w:rsidR="003F2780" w:rsidRDefault="008F3083">
            <w:pPr>
              <w:spacing w:after="0" w:line="240" w:lineRule="auto"/>
              <w:rPr>
                <w:color w:val="000000"/>
              </w:rPr>
            </w:pPr>
            <w:r>
              <w:rPr>
                <w:color w:val="000000"/>
              </w:rPr>
              <w:t>0.d. Series</w:t>
            </w:r>
          </w:p>
        </w:tc>
      </w:tr>
      <w:tr w:rsidR="003F2780">
        <w:trPr>
          <w:trHeight w:val="300"/>
        </w:trPr>
        <w:tc>
          <w:tcPr>
            <w:tcW w:w="4140" w:type="dxa"/>
            <w:shd w:val="clear" w:color="auto" w:fill="E7E6E6"/>
            <w:tcMar>
              <w:top w:w="0" w:type="dxa"/>
              <w:left w:w="45" w:type="dxa"/>
              <w:bottom w:w="0" w:type="dxa"/>
              <w:right w:w="45" w:type="dxa"/>
            </w:tcMar>
          </w:tcPr>
          <w:p w:rsidR="003F2780" w:rsidRDefault="008F3083">
            <w:pPr>
              <w:spacing w:after="0" w:line="240" w:lineRule="auto"/>
              <w:rPr>
                <w:color w:val="000000"/>
              </w:rPr>
            </w:pPr>
            <w:r>
              <w:rPr>
                <w:color w:val="000000"/>
              </w:rPr>
              <w:t>Institutional information</w:t>
            </w:r>
            <w:r>
              <w:rPr>
                <w:color w:val="000000"/>
              </w:rPr>
              <w:br/>
              <w:t>Organization(s)</w:t>
            </w:r>
          </w:p>
        </w:tc>
        <w:tc>
          <w:tcPr>
            <w:tcW w:w="4410" w:type="dxa"/>
            <w:shd w:val="clear" w:color="auto" w:fill="E7E6E6"/>
          </w:tcPr>
          <w:p w:rsidR="003F2780" w:rsidRDefault="008F3083">
            <w:pPr>
              <w:spacing w:after="0" w:line="240" w:lineRule="auto"/>
              <w:rPr>
                <w:color w:val="000000"/>
              </w:rPr>
            </w:pPr>
            <w:r>
              <w:rPr>
                <w:color w:val="000000"/>
              </w:rPr>
              <w:t>0.g. International organisations(s) responsible for global monitoring</w:t>
            </w:r>
          </w:p>
        </w:tc>
      </w:tr>
      <w:tr w:rsidR="003F2780">
        <w:trPr>
          <w:trHeight w:val="300"/>
        </w:trPr>
        <w:tc>
          <w:tcPr>
            <w:tcW w:w="4140" w:type="dxa"/>
            <w:shd w:val="clear" w:color="auto" w:fill="E7E6E6"/>
            <w:tcMar>
              <w:top w:w="0" w:type="dxa"/>
              <w:left w:w="45" w:type="dxa"/>
              <w:bottom w:w="0" w:type="dxa"/>
              <w:right w:w="45" w:type="dxa"/>
            </w:tcMar>
          </w:tcPr>
          <w:p w:rsidR="003F2780" w:rsidRDefault="003F2780">
            <w:pPr>
              <w:spacing w:after="0" w:line="240" w:lineRule="auto"/>
              <w:rPr>
                <w:color w:val="000000"/>
              </w:rPr>
            </w:pPr>
          </w:p>
        </w:tc>
        <w:tc>
          <w:tcPr>
            <w:tcW w:w="4410" w:type="dxa"/>
            <w:shd w:val="clear" w:color="auto" w:fill="E7E6E6"/>
          </w:tcPr>
          <w:p w:rsidR="003F2780" w:rsidRDefault="008F3083">
            <w:pPr>
              <w:spacing w:after="0" w:line="240" w:lineRule="auto"/>
              <w:rPr>
                <w:color w:val="000000"/>
              </w:rPr>
            </w:pPr>
            <w:r>
              <w:rPr>
                <w:color w:val="000000"/>
              </w:rPr>
              <w:t>1.a. Organisation</w:t>
            </w:r>
          </w:p>
        </w:tc>
      </w:tr>
      <w:tr w:rsidR="003F2780">
        <w:trPr>
          <w:trHeight w:val="300"/>
        </w:trPr>
        <w:tc>
          <w:tcPr>
            <w:tcW w:w="4140" w:type="dxa"/>
            <w:shd w:val="clear" w:color="auto" w:fill="E7E6E6"/>
            <w:tcMar>
              <w:top w:w="0" w:type="dxa"/>
              <w:left w:w="45" w:type="dxa"/>
              <w:bottom w:w="0" w:type="dxa"/>
              <w:right w:w="45" w:type="dxa"/>
            </w:tcMar>
          </w:tcPr>
          <w:p w:rsidR="003F2780" w:rsidRDefault="003F2780">
            <w:pPr>
              <w:spacing w:after="0" w:line="240" w:lineRule="auto"/>
              <w:rPr>
                <w:color w:val="000000"/>
              </w:rPr>
            </w:pPr>
          </w:p>
        </w:tc>
        <w:tc>
          <w:tcPr>
            <w:tcW w:w="4410" w:type="dxa"/>
            <w:shd w:val="clear" w:color="auto" w:fill="E7E6E6"/>
          </w:tcPr>
          <w:p w:rsidR="003F2780" w:rsidRDefault="008F3083">
            <w:pPr>
              <w:spacing w:after="0" w:line="240" w:lineRule="auto"/>
              <w:rPr>
                <w:color w:val="000000"/>
              </w:rPr>
            </w:pPr>
            <w:r>
              <w:rPr>
                <w:color w:val="000000"/>
              </w:rPr>
              <w:t>1.b. Contact person(s)</w:t>
            </w:r>
          </w:p>
        </w:tc>
      </w:tr>
      <w:tr w:rsidR="003F2780">
        <w:trPr>
          <w:trHeight w:val="300"/>
        </w:trPr>
        <w:tc>
          <w:tcPr>
            <w:tcW w:w="4140" w:type="dxa"/>
            <w:shd w:val="clear" w:color="auto" w:fill="E7E6E6"/>
            <w:tcMar>
              <w:top w:w="0" w:type="dxa"/>
              <w:left w:w="45" w:type="dxa"/>
              <w:bottom w:w="0" w:type="dxa"/>
              <w:right w:w="45" w:type="dxa"/>
            </w:tcMar>
          </w:tcPr>
          <w:p w:rsidR="003F2780" w:rsidRDefault="003F2780">
            <w:pPr>
              <w:spacing w:after="0" w:line="240" w:lineRule="auto"/>
              <w:rPr>
                <w:color w:val="000000"/>
              </w:rPr>
            </w:pPr>
          </w:p>
        </w:tc>
        <w:tc>
          <w:tcPr>
            <w:tcW w:w="4410" w:type="dxa"/>
            <w:shd w:val="clear" w:color="auto" w:fill="E7E6E6"/>
          </w:tcPr>
          <w:p w:rsidR="003F2780" w:rsidRDefault="008F3083">
            <w:pPr>
              <w:spacing w:after="0" w:line="240" w:lineRule="auto"/>
              <w:rPr>
                <w:color w:val="000000"/>
              </w:rPr>
            </w:pPr>
            <w:r>
              <w:rPr>
                <w:color w:val="000000"/>
              </w:rPr>
              <w:t>1.c. Contact organisation unit</w:t>
            </w:r>
          </w:p>
        </w:tc>
      </w:tr>
      <w:tr w:rsidR="003F2780">
        <w:trPr>
          <w:trHeight w:val="300"/>
        </w:trPr>
        <w:tc>
          <w:tcPr>
            <w:tcW w:w="4140" w:type="dxa"/>
            <w:shd w:val="clear" w:color="auto" w:fill="E7E6E6"/>
            <w:tcMar>
              <w:top w:w="0" w:type="dxa"/>
              <w:left w:w="45" w:type="dxa"/>
              <w:bottom w:w="0" w:type="dxa"/>
              <w:right w:w="45" w:type="dxa"/>
            </w:tcMar>
          </w:tcPr>
          <w:p w:rsidR="003F2780" w:rsidRDefault="003F2780">
            <w:pPr>
              <w:spacing w:after="0" w:line="240" w:lineRule="auto"/>
              <w:rPr>
                <w:color w:val="000000"/>
              </w:rPr>
            </w:pPr>
          </w:p>
        </w:tc>
        <w:tc>
          <w:tcPr>
            <w:tcW w:w="4410" w:type="dxa"/>
            <w:shd w:val="clear" w:color="auto" w:fill="E7E6E6"/>
          </w:tcPr>
          <w:p w:rsidR="003F2780" w:rsidRDefault="008F3083">
            <w:pPr>
              <w:spacing w:after="0" w:line="240" w:lineRule="auto"/>
              <w:rPr>
                <w:color w:val="000000"/>
              </w:rPr>
            </w:pPr>
            <w:r>
              <w:rPr>
                <w:color w:val="000000"/>
              </w:rPr>
              <w:t>1.d. Contact person function</w:t>
            </w:r>
          </w:p>
        </w:tc>
      </w:tr>
      <w:tr w:rsidR="003F2780">
        <w:trPr>
          <w:trHeight w:val="300"/>
        </w:trPr>
        <w:tc>
          <w:tcPr>
            <w:tcW w:w="4140" w:type="dxa"/>
            <w:shd w:val="clear" w:color="auto" w:fill="E7E6E6"/>
            <w:tcMar>
              <w:top w:w="0" w:type="dxa"/>
              <w:left w:w="45" w:type="dxa"/>
              <w:bottom w:w="0" w:type="dxa"/>
              <w:right w:w="45" w:type="dxa"/>
            </w:tcMar>
          </w:tcPr>
          <w:p w:rsidR="003F2780" w:rsidRDefault="003F2780">
            <w:pPr>
              <w:spacing w:after="0" w:line="240" w:lineRule="auto"/>
              <w:rPr>
                <w:color w:val="000000"/>
              </w:rPr>
            </w:pPr>
          </w:p>
        </w:tc>
        <w:tc>
          <w:tcPr>
            <w:tcW w:w="4410" w:type="dxa"/>
            <w:shd w:val="clear" w:color="auto" w:fill="E7E6E6"/>
          </w:tcPr>
          <w:p w:rsidR="003F2780" w:rsidRDefault="008F3083">
            <w:pPr>
              <w:spacing w:after="0" w:line="240" w:lineRule="auto"/>
              <w:rPr>
                <w:color w:val="000000"/>
              </w:rPr>
            </w:pPr>
            <w:r>
              <w:rPr>
                <w:color w:val="000000"/>
              </w:rPr>
              <w:t>1.e. Contact phone</w:t>
            </w:r>
          </w:p>
        </w:tc>
      </w:tr>
      <w:tr w:rsidR="003F2780">
        <w:trPr>
          <w:trHeight w:val="300"/>
        </w:trPr>
        <w:tc>
          <w:tcPr>
            <w:tcW w:w="4140" w:type="dxa"/>
            <w:shd w:val="clear" w:color="auto" w:fill="E7E6E6"/>
            <w:tcMar>
              <w:top w:w="0" w:type="dxa"/>
              <w:left w:w="45" w:type="dxa"/>
              <w:bottom w:w="0" w:type="dxa"/>
              <w:right w:w="45" w:type="dxa"/>
            </w:tcMar>
          </w:tcPr>
          <w:p w:rsidR="003F2780" w:rsidRDefault="003F2780">
            <w:pPr>
              <w:spacing w:after="0" w:line="240" w:lineRule="auto"/>
              <w:rPr>
                <w:color w:val="000000"/>
              </w:rPr>
            </w:pPr>
          </w:p>
        </w:tc>
        <w:tc>
          <w:tcPr>
            <w:tcW w:w="4410" w:type="dxa"/>
            <w:shd w:val="clear" w:color="auto" w:fill="E7E6E6"/>
          </w:tcPr>
          <w:p w:rsidR="003F2780" w:rsidRDefault="008F3083">
            <w:pPr>
              <w:spacing w:after="0" w:line="240" w:lineRule="auto"/>
              <w:rPr>
                <w:color w:val="000000"/>
              </w:rPr>
            </w:pPr>
            <w:r>
              <w:rPr>
                <w:color w:val="000000"/>
              </w:rPr>
              <w:t>1.f. Contact mail</w:t>
            </w:r>
          </w:p>
        </w:tc>
      </w:tr>
      <w:tr w:rsidR="003F2780">
        <w:trPr>
          <w:trHeight w:val="300"/>
        </w:trPr>
        <w:tc>
          <w:tcPr>
            <w:tcW w:w="4140" w:type="dxa"/>
            <w:shd w:val="clear" w:color="auto" w:fill="E7E6E6"/>
            <w:tcMar>
              <w:top w:w="0" w:type="dxa"/>
              <w:left w:w="45" w:type="dxa"/>
              <w:bottom w:w="0" w:type="dxa"/>
              <w:right w:w="45" w:type="dxa"/>
            </w:tcMar>
          </w:tcPr>
          <w:p w:rsidR="003F2780" w:rsidRDefault="003F2780">
            <w:pPr>
              <w:spacing w:after="0" w:line="240" w:lineRule="auto"/>
              <w:rPr>
                <w:color w:val="000000"/>
              </w:rPr>
            </w:pPr>
          </w:p>
        </w:tc>
        <w:tc>
          <w:tcPr>
            <w:tcW w:w="4410" w:type="dxa"/>
            <w:shd w:val="clear" w:color="auto" w:fill="E7E6E6"/>
          </w:tcPr>
          <w:p w:rsidR="003F2780" w:rsidRDefault="008F3083">
            <w:pPr>
              <w:spacing w:after="0" w:line="240" w:lineRule="auto"/>
              <w:rPr>
                <w:color w:val="000000"/>
              </w:rPr>
            </w:pPr>
            <w:r>
              <w:rPr>
                <w:color w:val="000000"/>
              </w:rPr>
              <w:t>1.g. Contact emails</w:t>
            </w:r>
          </w:p>
        </w:tc>
      </w:tr>
      <w:tr w:rsidR="003F2780">
        <w:trPr>
          <w:trHeight w:val="302"/>
        </w:trPr>
        <w:tc>
          <w:tcPr>
            <w:tcW w:w="4140" w:type="dxa"/>
            <w:shd w:val="clear" w:color="auto" w:fill="E7E6E6"/>
            <w:tcMar>
              <w:top w:w="0" w:type="dxa"/>
              <w:left w:w="45" w:type="dxa"/>
              <w:bottom w:w="0" w:type="dxa"/>
              <w:right w:w="45" w:type="dxa"/>
            </w:tcMar>
          </w:tcPr>
          <w:p w:rsidR="003F2780" w:rsidRDefault="008F3083">
            <w:pPr>
              <w:spacing w:after="0" w:line="240" w:lineRule="auto"/>
              <w:rPr>
                <w:color w:val="000000"/>
              </w:rPr>
            </w:pPr>
            <w:r>
              <w:rPr>
                <w:color w:val="000000"/>
              </w:rPr>
              <w:t>Concepts and definitions</w:t>
            </w:r>
            <w:r>
              <w:rPr>
                <w:color w:val="000000"/>
              </w:rPr>
              <w:br/>
              <w:t>Definition</w:t>
            </w:r>
            <w:r>
              <w:rPr>
                <w:color w:val="000000"/>
              </w:rPr>
              <w:br/>
              <w:t>Concepts</w:t>
            </w:r>
          </w:p>
        </w:tc>
        <w:tc>
          <w:tcPr>
            <w:tcW w:w="4410" w:type="dxa"/>
            <w:shd w:val="clear" w:color="auto" w:fill="E7E6E6"/>
          </w:tcPr>
          <w:p w:rsidR="003F2780" w:rsidRDefault="008F3083">
            <w:pPr>
              <w:spacing w:after="0" w:line="240" w:lineRule="auto"/>
              <w:rPr>
                <w:color w:val="000000"/>
              </w:rPr>
            </w:pPr>
            <w:r>
              <w:rPr>
                <w:color w:val="000000"/>
              </w:rPr>
              <w:t>2.a. Definition and concepts</w:t>
            </w:r>
          </w:p>
        </w:tc>
      </w:tr>
      <w:tr w:rsidR="003F2780">
        <w:trPr>
          <w:trHeight w:val="300"/>
        </w:trPr>
        <w:tc>
          <w:tcPr>
            <w:tcW w:w="4140" w:type="dxa"/>
            <w:shd w:val="clear" w:color="auto" w:fill="E7E6E6"/>
            <w:tcMar>
              <w:top w:w="0" w:type="dxa"/>
              <w:left w:w="45" w:type="dxa"/>
              <w:bottom w:w="0" w:type="dxa"/>
              <w:right w:w="45" w:type="dxa"/>
            </w:tcMar>
          </w:tcPr>
          <w:p w:rsidR="003F2780" w:rsidRDefault="003F2780">
            <w:pPr>
              <w:spacing w:after="0" w:line="240" w:lineRule="auto"/>
              <w:rPr>
                <w:color w:val="000000"/>
              </w:rPr>
            </w:pPr>
          </w:p>
        </w:tc>
        <w:tc>
          <w:tcPr>
            <w:tcW w:w="4410" w:type="dxa"/>
            <w:shd w:val="clear" w:color="auto" w:fill="E7E6E6"/>
          </w:tcPr>
          <w:p w:rsidR="003F2780" w:rsidRDefault="008F3083">
            <w:pPr>
              <w:spacing w:after="0" w:line="240" w:lineRule="auto"/>
              <w:rPr>
                <w:color w:val="000000"/>
              </w:rPr>
            </w:pPr>
            <w:r>
              <w:rPr>
                <w:color w:val="000000"/>
              </w:rPr>
              <w:t>2.b. Unit of measure</w:t>
            </w:r>
          </w:p>
        </w:tc>
      </w:tr>
      <w:tr w:rsidR="003F2780">
        <w:trPr>
          <w:trHeight w:val="300"/>
        </w:trPr>
        <w:tc>
          <w:tcPr>
            <w:tcW w:w="4140" w:type="dxa"/>
            <w:shd w:val="clear" w:color="auto" w:fill="E7E6E6"/>
            <w:tcMar>
              <w:top w:w="0" w:type="dxa"/>
              <w:left w:w="45" w:type="dxa"/>
              <w:bottom w:w="0" w:type="dxa"/>
              <w:right w:w="45" w:type="dxa"/>
            </w:tcMar>
          </w:tcPr>
          <w:p w:rsidR="003F2780" w:rsidRDefault="003F2780">
            <w:pPr>
              <w:spacing w:after="0" w:line="240" w:lineRule="auto"/>
              <w:rPr>
                <w:color w:val="000000"/>
              </w:rPr>
            </w:pPr>
          </w:p>
        </w:tc>
        <w:tc>
          <w:tcPr>
            <w:tcW w:w="4410" w:type="dxa"/>
            <w:shd w:val="clear" w:color="auto" w:fill="E7E6E6"/>
          </w:tcPr>
          <w:p w:rsidR="003F2780" w:rsidRDefault="008F3083">
            <w:pPr>
              <w:spacing w:after="0" w:line="240" w:lineRule="auto"/>
              <w:rPr>
                <w:color w:val="000000"/>
              </w:rPr>
            </w:pPr>
            <w:r>
              <w:rPr>
                <w:color w:val="000000"/>
              </w:rPr>
              <w:t>2.c. Classifications</w:t>
            </w:r>
          </w:p>
        </w:tc>
      </w:tr>
      <w:tr w:rsidR="003F2780">
        <w:trPr>
          <w:trHeight w:val="300"/>
        </w:trPr>
        <w:tc>
          <w:tcPr>
            <w:tcW w:w="4140" w:type="dxa"/>
            <w:shd w:val="clear" w:color="auto" w:fill="E7E6E6"/>
            <w:tcMar>
              <w:top w:w="0" w:type="dxa"/>
              <w:left w:w="45" w:type="dxa"/>
              <w:bottom w:w="0" w:type="dxa"/>
              <w:right w:w="45" w:type="dxa"/>
            </w:tcMar>
          </w:tcPr>
          <w:p w:rsidR="003F2780" w:rsidRDefault="008F3083">
            <w:pPr>
              <w:spacing w:after="0" w:line="240" w:lineRule="auto"/>
              <w:rPr>
                <w:color w:val="000000"/>
              </w:rPr>
            </w:pPr>
            <w:r>
              <w:rPr>
                <w:color w:val="000000"/>
              </w:rPr>
              <w:t>Rationale</w:t>
            </w:r>
          </w:p>
        </w:tc>
        <w:tc>
          <w:tcPr>
            <w:tcW w:w="4410" w:type="dxa"/>
            <w:shd w:val="clear" w:color="auto" w:fill="E7E6E6"/>
          </w:tcPr>
          <w:p w:rsidR="003F2780" w:rsidRDefault="008F3083">
            <w:pPr>
              <w:spacing w:after="0" w:line="240" w:lineRule="auto"/>
              <w:rPr>
                <w:color w:val="000000"/>
              </w:rPr>
            </w:pPr>
            <w:r>
              <w:rPr>
                <w:color w:val="000000"/>
              </w:rPr>
              <w:t>4.a. Rationale</w:t>
            </w:r>
          </w:p>
        </w:tc>
      </w:tr>
      <w:tr w:rsidR="003F2780">
        <w:trPr>
          <w:trHeight w:val="300"/>
        </w:trPr>
        <w:tc>
          <w:tcPr>
            <w:tcW w:w="4140" w:type="dxa"/>
            <w:shd w:val="clear" w:color="auto" w:fill="E7E6E6"/>
            <w:tcMar>
              <w:top w:w="0" w:type="dxa"/>
              <w:left w:w="45" w:type="dxa"/>
              <w:bottom w:w="0" w:type="dxa"/>
              <w:right w:w="45" w:type="dxa"/>
            </w:tcMar>
          </w:tcPr>
          <w:p w:rsidR="003F2780" w:rsidRDefault="008F3083">
            <w:pPr>
              <w:spacing w:after="0" w:line="240" w:lineRule="auto"/>
              <w:rPr>
                <w:color w:val="000000"/>
              </w:rPr>
            </w:pPr>
            <w:r>
              <w:rPr>
                <w:color w:val="000000"/>
              </w:rPr>
              <w:t>Comments and limitations</w:t>
            </w:r>
          </w:p>
        </w:tc>
        <w:tc>
          <w:tcPr>
            <w:tcW w:w="4410" w:type="dxa"/>
            <w:shd w:val="clear" w:color="auto" w:fill="E7E6E6"/>
          </w:tcPr>
          <w:p w:rsidR="003F2780" w:rsidRDefault="008F3083">
            <w:pPr>
              <w:spacing w:after="0" w:line="240" w:lineRule="auto"/>
              <w:rPr>
                <w:color w:val="000000"/>
              </w:rPr>
            </w:pPr>
            <w:r>
              <w:rPr>
                <w:color w:val="000000"/>
              </w:rPr>
              <w:t>4.b. Comment and limitations</w:t>
            </w:r>
          </w:p>
        </w:tc>
      </w:tr>
      <w:tr w:rsidR="003F2780">
        <w:trPr>
          <w:trHeight w:val="300"/>
        </w:trPr>
        <w:tc>
          <w:tcPr>
            <w:tcW w:w="4140" w:type="dxa"/>
            <w:shd w:val="clear" w:color="auto" w:fill="E7E6E6"/>
            <w:tcMar>
              <w:top w:w="0" w:type="dxa"/>
              <w:left w:w="45" w:type="dxa"/>
              <w:bottom w:w="0" w:type="dxa"/>
              <w:right w:w="45" w:type="dxa"/>
            </w:tcMar>
          </w:tcPr>
          <w:p w:rsidR="003F2780" w:rsidRDefault="008F3083">
            <w:pPr>
              <w:spacing w:after="0" w:line="240" w:lineRule="auto"/>
              <w:rPr>
                <w:color w:val="000000"/>
              </w:rPr>
            </w:pPr>
            <w:r>
              <w:rPr>
                <w:color w:val="000000"/>
              </w:rPr>
              <w:t>Methodology</w:t>
            </w:r>
            <w:r>
              <w:rPr>
                <w:color w:val="000000"/>
              </w:rPr>
              <w:br/>
              <w:t>Computation method</w:t>
            </w:r>
          </w:p>
        </w:tc>
        <w:tc>
          <w:tcPr>
            <w:tcW w:w="4410" w:type="dxa"/>
            <w:shd w:val="clear" w:color="auto" w:fill="E7E6E6"/>
          </w:tcPr>
          <w:p w:rsidR="003F2780" w:rsidRDefault="008F3083">
            <w:pPr>
              <w:spacing w:after="0" w:line="240" w:lineRule="auto"/>
              <w:rPr>
                <w:color w:val="000000"/>
              </w:rPr>
            </w:pPr>
            <w:r>
              <w:rPr>
                <w:color w:val="000000"/>
              </w:rPr>
              <w:t>4.c. Method of computation</w:t>
            </w:r>
          </w:p>
        </w:tc>
      </w:tr>
      <w:tr w:rsidR="003F2780">
        <w:trPr>
          <w:trHeight w:val="300"/>
        </w:trPr>
        <w:tc>
          <w:tcPr>
            <w:tcW w:w="4140" w:type="dxa"/>
            <w:shd w:val="clear" w:color="auto" w:fill="E7E6E6"/>
            <w:tcMar>
              <w:top w:w="0" w:type="dxa"/>
              <w:left w:w="45" w:type="dxa"/>
              <w:bottom w:w="0" w:type="dxa"/>
              <w:right w:w="45" w:type="dxa"/>
            </w:tcMar>
          </w:tcPr>
          <w:p w:rsidR="003F2780" w:rsidRDefault="003F2780">
            <w:pPr>
              <w:spacing w:after="0" w:line="240" w:lineRule="auto"/>
              <w:rPr>
                <w:color w:val="000000"/>
              </w:rPr>
            </w:pPr>
          </w:p>
        </w:tc>
        <w:tc>
          <w:tcPr>
            <w:tcW w:w="4410" w:type="dxa"/>
            <w:shd w:val="clear" w:color="auto" w:fill="E7E6E6"/>
          </w:tcPr>
          <w:p w:rsidR="003F2780" w:rsidRDefault="008F3083">
            <w:pPr>
              <w:spacing w:after="0" w:line="240" w:lineRule="auto"/>
              <w:rPr>
                <w:color w:val="000000"/>
              </w:rPr>
            </w:pPr>
            <w:r>
              <w:rPr>
                <w:color w:val="000000"/>
              </w:rPr>
              <w:t>4.d. Validation</w:t>
            </w:r>
          </w:p>
        </w:tc>
      </w:tr>
      <w:tr w:rsidR="003F2780">
        <w:trPr>
          <w:trHeight w:val="300"/>
        </w:trPr>
        <w:tc>
          <w:tcPr>
            <w:tcW w:w="4140" w:type="dxa"/>
            <w:shd w:val="clear" w:color="auto" w:fill="E7E6E6"/>
            <w:tcMar>
              <w:top w:w="0" w:type="dxa"/>
              <w:left w:w="45" w:type="dxa"/>
              <w:bottom w:w="0" w:type="dxa"/>
              <w:right w:w="45" w:type="dxa"/>
            </w:tcMar>
          </w:tcPr>
          <w:p w:rsidR="003F2780" w:rsidRDefault="003F2780">
            <w:pPr>
              <w:spacing w:after="0" w:line="240" w:lineRule="auto"/>
              <w:rPr>
                <w:color w:val="000000"/>
              </w:rPr>
            </w:pPr>
          </w:p>
        </w:tc>
        <w:tc>
          <w:tcPr>
            <w:tcW w:w="4410" w:type="dxa"/>
            <w:shd w:val="clear" w:color="auto" w:fill="E7E6E6"/>
          </w:tcPr>
          <w:p w:rsidR="003F2780" w:rsidRDefault="008F3083">
            <w:pPr>
              <w:spacing w:after="0" w:line="240" w:lineRule="auto"/>
              <w:rPr>
                <w:color w:val="000000"/>
              </w:rPr>
            </w:pPr>
            <w:r>
              <w:rPr>
                <w:color w:val="000000"/>
              </w:rPr>
              <w:t>4.e. Adjustments</w:t>
            </w:r>
          </w:p>
        </w:tc>
      </w:tr>
      <w:tr w:rsidR="003F2780">
        <w:trPr>
          <w:trHeight w:val="300"/>
        </w:trPr>
        <w:tc>
          <w:tcPr>
            <w:tcW w:w="4140" w:type="dxa"/>
            <w:shd w:val="clear" w:color="auto" w:fill="E7E6E6"/>
            <w:tcMar>
              <w:top w:w="0" w:type="dxa"/>
              <w:left w:w="45" w:type="dxa"/>
              <w:bottom w:w="0" w:type="dxa"/>
              <w:right w:w="45" w:type="dxa"/>
            </w:tcMar>
          </w:tcPr>
          <w:p w:rsidR="003F2780" w:rsidRDefault="008F3083">
            <w:pPr>
              <w:spacing w:after="0" w:line="240" w:lineRule="auto"/>
              <w:rPr>
                <w:color w:val="000000"/>
              </w:rPr>
            </w:pPr>
            <w:r>
              <w:rPr>
                <w:color w:val="000000"/>
              </w:rPr>
              <w:t>Treatment of missing values</w:t>
            </w:r>
            <w:r>
              <w:rPr>
                <w:color w:val="000000"/>
              </w:rPr>
              <w:br/>
              <w:t xml:space="preserve">* At country level: </w:t>
            </w:r>
            <w:r>
              <w:rPr>
                <w:color w:val="000000"/>
              </w:rPr>
              <w:br/>
              <w:t xml:space="preserve">* At regional or global levels: </w:t>
            </w:r>
          </w:p>
        </w:tc>
        <w:tc>
          <w:tcPr>
            <w:tcW w:w="4410" w:type="dxa"/>
            <w:shd w:val="clear" w:color="auto" w:fill="E7E6E6"/>
          </w:tcPr>
          <w:p w:rsidR="003F2780" w:rsidRDefault="008F3083">
            <w:pPr>
              <w:spacing w:after="0" w:line="240" w:lineRule="auto"/>
              <w:rPr>
                <w:color w:val="000000"/>
              </w:rPr>
            </w:pPr>
            <w:r>
              <w:rPr>
                <w:color w:val="000000"/>
              </w:rPr>
              <w:t>4.f. Treatment of missing values (i) at country level and (ii) at regional level.</w:t>
            </w:r>
          </w:p>
        </w:tc>
      </w:tr>
      <w:tr w:rsidR="003F2780">
        <w:trPr>
          <w:trHeight w:val="300"/>
        </w:trPr>
        <w:tc>
          <w:tcPr>
            <w:tcW w:w="4140" w:type="dxa"/>
            <w:shd w:val="clear" w:color="auto" w:fill="E7E6E6"/>
            <w:tcMar>
              <w:top w:w="0" w:type="dxa"/>
              <w:left w:w="45" w:type="dxa"/>
              <w:bottom w:w="0" w:type="dxa"/>
              <w:right w:w="45" w:type="dxa"/>
            </w:tcMar>
          </w:tcPr>
          <w:p w:rsidR="003F2780" w:rsidRDefault="008F3083">
            <w:pPr>
              <w:spacing w:after="0" w:line="240" w:lineRule="auto"/>
              <w:rPr>
                <w:color w:val="000000"/>
              </w:rPr>
            </w:pPr>
            <w:r>
              <w:rPr>
                <w:color w:val="000000"/>
              </w:rPr>
              <w:t>Regional aggregates</w:t>
            </w:r>
          </w:p>
        </w:tc>
        <w:tc>
          <w:tcPr>
            <w:tcW w:w="4410" w:type="dxa"/>
            <w:shd w:val="clear" w:color="auto" w:fill="E7E6E6"/>
          </w:tcPr>
          <w:p w:rsidR="003F2780" w:rsidRDefault="008F3083">
            <w:pPr>
              <w:spacing w:after="0" w:line="240" w:lineRule="auto"/>
              <w:rPr>
                <w:color w:val="000000"/>
              </w:rPr>
            </w:pPr>
            <w:r>
              <w:rPr>
                <w:color w:val="000000"/>
              </w:rPr>
              <w:t>4.g. Regional aggregations</w:t>
            </w:r>
          </w:p>
        </w:tc>
      </w:tr>
      <w:tr w:rsidR="003F2780">
        <w:trPr>
          <w:trHeight w:val="300"/>
        </w:trPr>
        <w:tc>
          <w:tcPr>
            <w:tcW w:w="4140" w:type="dxa"/>
            <w:shd w:val="clear" w:color="auto" w:fill="E7E6E6"/>
            <w:tcMar>
              <w:top w:w="0" w:type="dxa"/>
              <w:left w:w="45" w:type="dxa"/>
              <w:bottom w:w="0" w:type="dxa"/>
              <w:right w:w="45" w:type="dxa"/>
            </w:tcMar>
          </w:tcPr>
          <w:p w:rsidR="003F2780" w:rsidRDefault="008F3083">
            <w:pPr>
              <w:spacing w:after="0" w:line="240" w:lineRule="auto"/>
              <w:rPr>
                <w:color w:val="000000"/>
              </w:rPr>
            </w:pPr>
            <w:r>
              <w:rPr>
                <w:color w:val="000000"/>
              </w:rPr>
              <w:t>Sources of discrepancies</w:t>
            </w:r>
          </w:p>
        </w:tc>
        <w:tc>
          <w:tcPr>
            <w:tcW w:w="4410" w:type="dxa"/>
            <w:shd w:val="clear" w:color="auto" w:fill="E7E6E6"/>
          </w:tcPr>
          <w:p w:rsidR="003F2780" w:rsidRDefault="008F3083">
            <w:pPr>
              <w:spacing w:after="0" w:line="240" w:lineRule="auto"/>
              <w:rPr>
                <w:color w:val="000000"/>
              </w:rPr>
            </w:pPr>
            <w:r>
              <w:rPr>
                <w:color w:val="000000"/>
              </w:rPr>
              <w:t>6. Comparability / Deviation from international standards</w:t>
            </w:r>
          </w:p>
        </w:tc>
      </w:tr>
      <w:tr w:rsidR="003F2780">
        <w:trPr>
          <w:trHeight w:val="300"/>
        </w:trPr>
        <w:tc>
          <w:tcPr>
            <w:tcW w:w="4140" w:type="dxa"/>
            <w:shd w:val="clear" w:color="auto" w:fill="E7E6E6"/>
            <w:tcMar>
              <w:top w:w="0" w:type="dxa"/>
              <w:left w:w="45" w:type="dxa"/>
              <w:bottom w:w="0" w:type="dxa"/>
              <w:right w:w="45" w:type="dxa"/>
            </w:tcMar>
          </w:tcPr>
          <w:p w:rsidR="003F2780" w:rsidRDefault="008F3083">
            <w:pPr>
              <w:spacing w:after="0" w:line="240" w:lineRule="auto"/>
              <w:rPr>
                <w:color w:val="000000"/>
              </w:rPr>
            </w:pPr>
            <w:r>
              <w:rPr>
                <w:color w:val="000000"/>
              </w:rPr>
              <w:t>Methods and guidance available to countries for the compilation of the data at the national level</w:t>
            </w:r>
          </w:p>
        </w:tc>
        <w:tc>
          <w:tcPr>
            <w:tcW w:w="4410" w:type="dxa"/>
            <w:shd w:val="clear" w:color="auto" w:fill="E7E6E6"/>
          </w:tcPr>
          <w:p w:rsidR="003F2780" w:rsidRDefault="008F3083">
            <w:pPr>
              <w:spacing w:after="0" w:line="240" w:lineRule="auto"/>
              <w:rPr>
                <w:color w:val="000000"/>
              </w:rPr>
            </w:pPr>
            <w:r>
              <w:rPr>
                <w:color w:val="000000"/>
              </w:rPr>
              <w:t>4.h. Methods and guidance available to countries for the compilation of the data at the national level</w:t>
            </w:r>
          </w:p>
        </w:tc>
      </w:tr>
      <w:tr w:rsidR="003F2780">
        <w:trPr>
          <w:trHeight w:val="300"/>
        </w:trPr>
        <w:tc>
          <w:tcPr>
            <w:tcW w:w="4140" w:type="dxa"/>
            <w:shd w:val="clear" w:color="auto" w:fill="E7E6E6"/>
            <w:tcMar>
              <w:top w:w="0" w:type="dxa"/>
              <w:left w:w="45" w:type="dxa"/>
              <w:bottom w:w="0" w:type="dxa"/>
              <w:right w:w="45" w:type="dxa"/>
            </w:tcMar>
          </w:tcPr>
          <w:p w:rsidR="003F2780" w:rsidRDefault="003F2780">
            <w:pPr>
              <w:spacing w:after="0" w:line="240" w:lineRule="auto"/>
              <w:rPr>
                <w:color w:val="000000"/>
              </w:rPr>
            </w:pPr>
          </w:p>
        </w:tc>
        <w:tc>
          <w:tcPr>
            <w:tcW w:w="4410" w:type="dxa"/>
            <w:shd w:val="clear" w:color="auto" w:fill="E7E6E6"/>
          </w:tcPr>
          <w:p w:rsidR="003F2780" w:rsidRDefault="008F3083">
            <w:pPr>
              <w:spacing w:after="0" w:line="240" w:lineRule="auto"/>
              <w:rPr>
                <w:color w:val="000000"/>
              </w:rPr>
            </w:pPr>
            <w:r>
              <w:rPr>
                <w:color w:val="000000"/>
              </w:rPr>
              <w:t>4.i. Quality management</w:t>
            </w:r>
          </w:p>
        </w:tc>
      </w:tr>
      <w:tr w:rsidR="003F2780">
        <w:trPr>
          <w:trHeight w:val="300"/>
        </w:trPr>
        <w:tc>
          <w:tcPr>
            <w:tcW w:w="4140" w:type="dxa"/>
            <w:shd w:val="clear" w:color="auto" w:fill="E7E6E6"/>
            <w:tcMar>
              <w:top w:w="0" w:type="dxa"/>
              <w:left w:w="45" w:type="dxa"/>
              <w:bottom w:w="0" w:type="dxa"/>
              <w:right w:w="45" w:type="dxa"/>
            </w:tcMar>
          </w:tcPr>
          <w:p w:rsidR="003F2780" w:rsidRDefault="008F3083">
            <w:pPr>
              <w:spacing w:after="0" w:line="240" w:lineRule="auto"/>
              <w:rPr>
                <w:color w:val="000000"/>
              </w:rPr>
            </w:pPr>
            <w:r>
              <w:rPr>
                <w:color w:val="000000"/>
              </w:rPr>
              <w:t>Quality assurance</w:t>
            </w:r>
          </w:p>
        </w:tc>
        <w:tc>
          <w:tcPr>
            <w:tcW w:w="4410" w:type="dxa"/>
            <w:shd w:val="clear" w:color="auto" w:fill="E7E6E6"/>
          </w:tcPr>
          <w:p w:rsidR="003F2780" w:rsidRDefault="008F3083">
            <w:pPr>
              <w:spacing w:after="0" w:line="240" w:lineRule="auto"/>
              <w:rPr>
                <w:color w:val="000000"/>
              </w:rPr>
            </w:pPr>
            <w:r>
              <w:rPr>
                <w:color w:val="000000"/>
              </w:rPr>
              <w:t>4.j. Quality assurance</w:t>
            </w:r>
          </w:p>
        </w:tc>
      </w:tr>
      <w:tr w:rsidR="003F2780">
        <w:trPr>
          <w:trHeight w:val="300"/>
        </w:trPr>
        <w:tc>
          <w:tcPr>
            <w:tcW w:w="4140" w:type="dxa"/>
            <w:shd w:val="clear" w:color="auto" w:fill="E7E6E6"/>
            <w:tcMar>
              <w:top w:w="0" w:type="dxa"/>
              <w:left w:w="45" w:type="dxa"/>
              <w:bottom w:w="0" w:type="dxa"/>
              <w:right w:w="45" w:type="dxa"/>
            </w:tcMar>
          </w:tcPr>
          <w:p w:rsidR="003F2780" w:rsidRDefault="003F2780">
            <w:pPr>
              <w:spacing w:after="0" w:line="240" w:lineRule="auto"/>
              <w:rPr>
                <w:color w:val="000000"/>
              </w:rPr>
            </w:pPr>
          </w:p>
        </w:tc>
        <w:tc>
          <w:tcPr>
            <w:tcW w:w="4410" w:type="dxa"/>
            <w:shd w:val="clear" w:color="auto" w:fill="E7E6E6"/>
          </w:tcPr>
          <w:p w:rsidR="003F2780" w:rsidRDefault="008F3083">
            <w:pPr>
              <w:spacing w:after="0" w:line="240" w:lineRule="auto"/>
              <w:rPr>
                <w:color w:val="000000"/>
              </w:rPr>
            </w:pPr>
            <w:r>
              <w:rPr>
                <w:color w:val="000000"/>
              </w:rPr>
              <w:t>4.k. Quality assessment</w:t>
            </w:r>
          </w:p>
        </w:tc>
      </w:tr>
      <w:tr w:rsidR="003F2780">
        <w:trPr>
          <w:trHeight w:val="300"/>
        </w:trPr>
        <w:tc>
          <w:tcPr>
            <w:tcW w:w="4140" w:type="dxa"/>
            <w:shd w:val="clear" w:color="auto" w:fill="E7E6E6"/>
            <w:tcMar>
              <w:top w:w="0" w:type="dxa"/>
              <w:left w:w="45" w:type="dxa"/>
              <w:bottom w:w="0" w:type="dxa"/>
              <w:right w:w="45" w:type="dxa"/>
            </w:tcMar>
          </w:tcPr>
          <w:p w:rsidR="003F2780" w:rsidRDefault="008F3083">
            <w:pPr>
              <w:spacing w:after="0" w:line="240" w:lineRule="auto"/>
              <w:rPr>
                <w:color w:val="000000"/>
              </w:rPr>
            </w:pPr>
            <w:r>
              <w:rPr>
                <w:color w:val="000000"/>
              </w:rPr>
              <w:t>Data sources</w:t>
            </w:r>
            <w:r>
              <w:rPr>
                <w:color w:val="000000"/>
              </w:rPr>
              <w:br/>
              <w:t>Description</w:t>
            </w:r>
          </w:p>
        </w:tc>
        <w:tc>
          <w:tcPr>
            <w:tcW w:w="4410" w:type="dxa"/>
            <w:shd w:val="clear" w:color="auto" w:fill="E7E6E6"/>
          </w:tcPr>
          <w:p w:rsidR="003F2780" w:rsidRDefault="008F3083">
            <w:pPr>
              <w:spacing w:after="0" w:line="240" w:lineRule="auto"/>
              <w:rPr>
                <w:color w:val="000000"/>
              </w:rPr>
            </w:pPr>
            <w:r>
              <w:rPr>
                <w:color w:val="000000"/>
              </w:rPr>
              <w:t>3.a. Data sources</w:t>
            </w:r>
          </w:p>
        </w:tc>
      </w:tr>
      <w:tr w:rsidR="003F2780">
        <w:trPr>
          <w:trHeight w:val="300"/>
        </w:trPr>
        <w:tc>
          <w:tcPr>
            <w:tcW w:w="4140" w:type="dxa"/>
            <w:shd w:val="clear" w:color="auto" w:fill="E7E6E6"/>
            <w:tcMar>
              <w:top w:w="0" w:type="dxa"/>
              <w:left w:w="45" w:type="dxa"/>
              <w:bottom w:w="0" w:type="dxa"/>
              <w:right w:w="45" w:type="dxa"/>
            </w:tcMar>
          </w:tcPr>
          <w:p w:rsidR="003F2780" w:rsidRDefault="008F3083">
            <w:pPr>
              <w:spacing w:after="0" w:line="240" w:lineRule="auto"/>
              <w:rPr>
                <w:color w:val="000000"/>
              </w:rPr>
            </w:pPr>
            <w:r>
              <w:rPr>
                <w:color w:val="000000"/>
              </w:rPr>
              <w:t>Collection process</w:t>
            </w:r>
          </w:p>
        </w:tc>
        <w:tc>
          <w:tcPr>
            <w:tcW w:w="4410" w:type="dxa"/>
            <w:shd w:val="clear" w:color="auto" w:fill="E7E6E6"/>
          </w:tcPr>
          <w:p w:rsidR="003F2780" w:rsidRDefault="008F3083">
            <w:pPr>
              <w:spacing w:after="0" w:line="240" w:lineRule="auto"/>
              <w:rPr>
                <w:color w:val="000000"/>
              </w:rPr>
            </w:pPr>
            <w:r>
              <w:rPr>
                <w:color w:val="000000"/>
              </w:rPr>
              <w:t>3.b. Data collection method</w:t>
            </w:r>
          </w:p>
        </w:tc>
      </w:tr>
      <w:tr w:rsidR="003F2780">
        <w:trPr>
          <w:trHeight w:val="300"/>
        </w:trPr>
        <w:tc>
          <w:tcPr>
            <w:tcW w:w="4140" w:type="dxa"/>
            <w:shd w:val="clear" w:color="auto" w:fill="E7E6E6"/>
            <w:tcMar>
              <w:top w:w="0" w:type="dxa"/>
              <w:left w:w="45" w:type="dxa"/>
              <w:bottom w:w="0" w:type="dxa"/>
              <w:right w:w="45" w:type="dxa"/>
            </w:tcMar>
          </w:tcPr>
          <w:p w:rsidR="003F2780" w:rsidRDefault="008F3083">
            <w:pPr>
              <w:spacing w:after="0" w:line="240" w:lineRule="auto"/>
              <w:rPr>
                <w:color w:val="000000"/>
              </w:rPr>
            </w:pPr>
            <w:r>
              <w:rPr>
                <w:color w:val="000000"/>
              </w:rPr>
              <w:t>Data availability</w:t>
            </w:r>
            <w:r>
              <w:rPr>
                <w:color w:val="000000"/>
              </w:rPr>
              <w:br/>
              <w:t>Disaggregation</w:t>
            </w:r>
          </w:p>
        </w:tc>
        <w:tc>
          <w:tcPr>
            <w:tcW w:w="4410" w:type="dxa"/>
            <w:shd w:val="clear" w:color="auto" w:fill="E7E6E6"/>
          </w:tcPr>
          <w:p w:rsidR="003F2780" w:rsidRDefault="008F3083">
            <w:pPr>
              <w:spacing w:after="0" w:line="240" w:lineRule="auto"/>
              <w:rPr>
                <w:color w:val="000000"/>
              </w:rPr>
            </w:pPr>
            <w:r>
              <w:rPr>
                <w:color w:val="000000"/>
              </w:rPr>
              <w:t>5. Data availability and disaggregation</w:t>
            </w:r>
          </w:p>
        </w:tc>
      </w:tr>
      <w:tr w:rsidR="003F2780">
        <w:trPr>
          <w:trHeight w:val="300"/>
        </w:trPr>
        <w:tc>
          <w:tcPr>
            <w:tcW w:w="4140" w:type="dxa"/>
            <w:shd w:val="clear" w:color="auto" w:fill="E7E6E6"/>
            <w:tcMar>
              <w:top w:w="0" w:type="dxa"/>
              <w:left w:w="45" w:type="dxa"/>
              <w:bottom w:w="0" w:type="dxa"/>
              <w:right w:w="45" w:type="dxa"/>
            </w:tcMar>
          </w:tcPr>
          <w:p w:rsidR="003F2780" w:rsidRDefault="008F3083">
            <w:pPr>
              <w:spacing w:after="0" w:line="240" w:lineRule="auto"/>
              <w:rPr>
                <w:color w:val="000000"/>
              </w:rPr>
            </w:pPr>
            <w:r>
              <w:rPr>
                <w:color w:val="000000"/>
              </w:rPr>
              <w:t>Calendar</w:t>
            </w:r>
            <w:r>
              <w:rPr>
                <w:color w:val="000000"/>
              </w:rPr>
              <w:br/>
              <w:t>Data collection</w:t>
            </w:r>
          </w:p>
        </w:tc>
        <w:tc>
          <w:tcPr>
            <w:tcW w:w="4410" w:type="dxa"/>
            <w:shd w:val="clear" w:color="auto" w:fill="E7E6E6"/>
          </w:tcPr>
          <w:p w:rsidR="003F2780" w:rsidRDefault="008F3083">
            <w:pPr>
              <w:spacing w:after="0" w:line="240" w:lineRule="auto"/>
              <w:rPr>
                <w:color w:val="000000"/>
              </w:rPr>
            </w:pPr>
            <w:r>
              <w:rPr>
                <w:color w:val="000000"/>
              </w:rPr>
              <w:t>3.c. Data collection calendar</w:t>
            </w:r>
          </w:p>
        </w:tc>
      </w:tr>
      <w:tr w:rsidR="003F2780">
        <w:trPr>
          <w:trHeight w:val="300"/>
        </w:trPr>
        <w:tc>
          <w:tcPr>
            <w:tcW w:w="4140" w:type="dxa"/>
            <w:shd w:val="clear" w:color="auto" w:fill="E7E6E6"/>
            <w:tcMar>
              <w:top w:w="0" w:type="dxa"/>
              <w:left w:w="45" w:type="dxa"/>
              <w:bottom w:w="0" w:type="dxa"/>
              <w:right w:w="45" w:type="dxa"/>
            </w:tcMar>
          </w:tcPr>
          <w:p w:rsidR="003F2780" w:rsidRDefault="008F3083">
            <w:pPr>
              <w:spacing w:after="0" w:line="240" w:lineRule="auto"/>
              <w:rPr>
                <w:color w:val="000000"/>
              </w:rPr>
            </w:pPr>
            <w:r>
              <w:rPr>
                <w:color w:val="000000"/>
              </w:rPr>
              <w:t>Data release</w:t>
            </w:r>
          </w:p>
        </w:tc>
        <w:tc>
          <w:tcPr>
            <w:tcW w:w="4410" w:type="dxa"/>
            <w:shd w:val="clear" w:color="auto" w:fill="E7E6E6"/>
          </w:tcPr>
          <w:p w:rsidR="003F2780" w:rsidRDefault="008F3083">
            <w:pPr>
              <w:spacing w:after="0" w:line="240" w:lineRule="auto"/>
              <w:rPr>
                <w:color w:val="000000"/>
              </w:rPr>
            </w:pPr>
            <w:r>
              <w:rPr>
                <w:color w:val="000000"/>
              </w:rPr>
              <w:t>3.d. Data release calendar</w:t>
            </w:r>
          </w:p>
        </w:tc>
      </w:tr>
      <w:tr w:rsidR="003F2780">
        <w:trPr>
          <w:trHeight w:val="300"/>
        </w:trPr>
        <w:tc>
          <w:tcPr>
            <w:tcW w:w="4140" w:type="dxa"/>
            <w:shd w:val="clear" w:color="auto" w:fill="E7E6E6"/>
            <w:tcMar>
              <w:top w:w="0" w:type="dxa"/>
              <w:left w:w="45" w:type="dxa"/>
              <w:bottom w:w="0" w:type="dxa"/>
              <w:right w:w="45" w:type="dxa"/>
            </w:tcMar>
          </w:tcPr>
          <w:p w:rsidR="003F2780" w:rsidRDefault="008F3083">
            <w:pPr>
              <w:spacing w:after="0" w:line="240" w:lineRule="auto"/>
              <w:rPr>
                <w:color w:val="000000"/>
              </w:rPr>
            </w:pPr>
            <w:r>
              <w:rPr>
                <w:color w:val="000000"/>
              </w:rPr>
              <w:t>Data providers</w:t>
            </w:r>
          </w:p>
        </w:tc>
        <w:tc>
          <w:tcPr>
            <w:tcW w:w="4410" w:type="dxa"/>
            <w:shd w:val="clear" w:color="auto" w:fill="E7E6E6"/>
          </w:tcPr>
          <w:p w:rsidR="003F2780" w:rsidRDefault="008F3083">
            <w:pPr>
              <w:spacing w:after="0" w:line="240" w:lineRule="auto"/>
              <w:rPr>
                <w:color w:val="000000"/>
              </w:rPr>
            </w:pPr>
            <w:r>
              <w:rPr>
                <w:color w:val="000000"/>
              </w:rPr>
              <w:t>3.e. Data providers</w:t>
            </w:r>
          </w:p>
        </w:tc>
      </w:tr>
      <w:tr w:rsidR="003F2780">
        <w:trPr>
          <w:trHeight w:val="300"/>
        </w:trPr>
        <w:tc>
          <w:tcPr>
            <w:tcW w:w="4140" w:type="dxa"/>
            <w:shd w:val="clear" w:color="auto" w:fill="E7E6E6"/>
            <w:tcMar>
              <w:top w:w="0" w:type="dxa"/>
              <w:left w:w="45" w:type="dxa"/>
              <w:bottom w:w="0" w:type="dxa"/>
              <w:right w:w="45" w:type="dxa"/>
            </w:tcMar>
          </w:tcPr>
          <w:p w:rsidR="003F2780" w:rsidRDefault="008F3083">
            <w:pPr>
              <w:spacing w:after="0" w:line="240" w:lineRule="auto"/>
              <w:rPr>
                <w:color w:val="000000"/>
              </w:rPr>
            </w:pPr>
            <w:r>
              <w:rPr>
                <w:color w:val="000000"/>
              </w:rPr>
              <w:t>Data compilers</w:t>
            </w:r>
          </w:p>
        </w:tc>
        <w:tc>
          <w:tcPr>
            <w:tcW w:w="4410" w:type="dxa"/>
            <w:shd w:val="clear" w:color="auto" w:fill="E7E6E6"/>
          </w:tcPr>
          <w:p w:rsidR="003F2780" w:rsidRDefault="008F3083">
            <w:pPr>
              <w:spacing w:after="0" w:line="240" w:lineRule="auto"/>
              <w:rPr>
                <w:color w:val="000000"/>
              </w:rPr>
            </w:pPr>
            <w:r>
              <w:rPr>
                <w:color w:val="000000"/>
              </w:rPr>
              <w:t>3.f. Data compilers</w:t>
            </w:r>
          </w:p>
        </w:tc>
      </w:tr>
      <w:tr w:rsidR="003F2780">
        <w:trPr>
          <w:trHeight w:val="300"/>
        </w:trPr>
        <w:tc>
          <w:tcPr>
            <w:tcW w:w="4140" w:type="dxa"/>
            <w:shd w:val="clear" w:color="auto" w:fill="E7E6E6"/>
            <w:tcMar>
              <w:top w:w="0" w:type="dxa"/>
              <w:left w:w="45" w:type="dxa"/>
              <w:bottom w:w="0" w:type="dxa"/>
              <w:right w:w="45" w:type="dxa"/>
            </w:tcMar>
          </w:tcPr>
          <w:p w:rsidR="003F2780" w:rsidRDefault="003F2780">
            <w:pPr>
              <w:spacing w:after="0" w:line="240" w:lineRule="auto"/>
              <w:rPr>
                <w:color w:val="000000"/>
              </w:rPr>
            </w:pPr>
          </w:p>
        </w:tc>
        <w:tc>
          <w:tcPr>
            <w:tcW w:w="4410" w:type="dxa"/>
            <w:shd w:val="clear" w:color="auto" w:fill="E7E6E6"/>
          </w:tcPr>
          <w:p w:rsidR="003F2780" w:rsidRDefault="008F3083">
            <w:pPr>
              <w:spacing w:after="0" w:line="240" w:lineRule="auto"/>
              <w:rPr>
                <w:color w:val="000000"/>
              </w:rPr>
            </w:pPr>
            <w:r>
              <w:rPr>
                <w:color w:val="000000"/>
              </w:rPr>
              <w:t>3.g. Institutional mandate</w:t>
            </w:r>
          </w:p>
        </w:tc>
      </w:tr>
      <w:tr w:rsidR="003F2780">
        <w:trPr>
          <w:trHeight w:val="300"/>
        </w:trPr>
        <w:tc>
          <w:tcPr>
            <w:tcW w:w="4140" w:type="dxa"/>
            <w:shd w:val="clear" w:color="auto" w:fill="E7E6E6"/>
            <w:tcMar>
              <w:top w:w="0" w:type="dxa"/>
              <w:left w:w="45" w:type="dxa"/>
              <w:bottom w:w="0" w:type="dxa"/>
              <w:right w:w="45" w:type="dxa"/>
            </w:tcMar>
          </w:tcPr>
          <w:p w:rsidR="003F2780" w:rsidRDefault="008F3083">
            <w:pPr>
              <w:spacing w:after="0" w:line="240" w:lineRule="auto"/>
              <w:rPr>
                <w:color w:val="000000"/>
              </w:rPr>
            </w:pPr>
            <w:r>
              <w:rPr>
                <w:color w:val="000000"/>
              </w:rPr>
              <w:t>References</w:t>
            </w:r>
            <w:r>
              <w:rPr>
                <w:color w:val="000000"/>
              </w:rPr>
              <w:br/>
              <w:t>URL</w:t>
            </w:r>
            <w:r>
              <w:rPr>
                <w:color w:val="000000"/>
              </w:rPr>
              <w:br/>
              <w:t>References</w:t>
            </w:r>
          </w:p>
        </w:tc>
        <w:tc>
          <w:tcPr>
            <w:tcW w:w="4410" w:type="dxa"/>
            <w:shd w:val="clear" w:color="auto" w:fill="E7E6E6"/>
          </w:tcPr>
          <w:p w:rsidR="003F2780" w:rsidRDefault="008F3083">
            <w:pPr>
              <w:spacing w:after="0" w:line="240" w:lineRule="auto"/>
              <w:rPr>
                <w:color w:val="000000"/>
              </w:rPr>
            </w:pPr>
            <w:r>
              <w:rPr>
                <w:color w:val="000000"/>
              </w:rPr>
              <w:t>7. References and Documentation</w:t>
            </w:r>
          </w:p>
        </w:tc>
      </w:tr>
      <w:tr w:rsidR="003F2780">
        <w:trPr>
          <w:trHeight w:val="300"/>
        </w:trPr>
        <w:tc>
          <w:tcPr>
            <w:tcW w:w="4140" w:type="dxa"/>
            <w:shd w:val="clear" w:color="auto" w:fill="E7E6E6"/>
            <w:tcMar>
              <w:top w:w="0" w:type="dxa"/>
              <w:left w:w="45" w:type="dxa"/>
              <w:bottom w:w="0" w:type="dxa"/>
              <w:right w:w="45" w:type="dxa"/>
            </w:tcMar>
          </w:tcPr>
          <w:p w:rsidR="003F2780" w:rsidRDefault="008F3083">
            <w:pPr>
              <w:spacing w:after="0" w:line="240" w:lineRule="auto"/>
            </w:pPr>
            <w:r>
              <w:t>Related indicators</w:t>
            </w:r>
          </w:p>
        </w:tc>
        <w:tc>
          <w:tcPr>
            <w:tcW w:w="4410" w:type="dxa"/>
            <w:shd w:val="clear" w:color="auto" w:fill="E7E6E6"/>
          </w:tcPr>
          <w:p w:rsidR="003F2780" w:rsidRDefault="008F3083">
            <w:pPr>
              <w:spacing w:after="0" w:line="240" w:lineRule="auto"/>
            </w:pPr>
            <w:r>
              <w:t>0.f. Related indicators</w:t>
            </w:r>
          </w:p>
        </w:tc>
      </w:tr>
    </w:tbl>
    <w:p w:rsidR="003F2780" w:rsidRDefault="003F2780">
      <w:pPr>
        <w:pBdr>
          <w:top w:val="nil"/>
          <w:left w:val="nil"/>
          <w:bottom w:val="nil"/>
          <w:right w:val="nil"/>
          <w:between w:val="nil"/>
        </w:pBdr>
        <w:shd w:val="clear" w:color="auto" w:fill="FFFFFF"/>
        <w:spacing w:after="0" w:line="276" w:lineRule="auto"/>
        <w:rPr>
          <w:color w:val="4A4A4A"/>
          <w:sz w:val="21"/>
          <w:szCs w:val="21"/>
        </w:rPr>
      </w:pPr>
    </w:p>
    <w:sectPr w:rsidR="003F2780">
      <w:footerReference w:type="default" r:id="rId14"/>
      <w:footerReference w:type="first" r:id="rId15"/>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1530B" w:rsidRDefault="00C1530B">
      <w:pPr>
        <w:spacing w:after="0" w:line="240" w:lineRule="auto"/>
      </w:pPr>
      <w:r>
        <w:separator/>
      </w:r>
    </w:p>
  </w:endnote>
  <w:endnote w:type="continuationSeparator" w:id="0">
    <w:p w:rsidR="00C1530B" w:rsidRDefault="00C153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0033A" w:rsidRDefault="00F0033A">
    <w:pPr>
      <w:pBdr>
        <w:top w:val="nil"/>
        <w:left w:val="nil"/>
        <w:bottom w:val="nil"/>
        <w:right w:val="nil"/>
        <w:between w:val="nil"/>
      </w:pBdr>
      <w:tabs>
        <w:tab w:val="center" w:pos="4680"/>
        <w:tab w:val="right" w:pos="9360"/>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Pr>
        <w:noProof/>
        <w:color w:val="000000"/>
      </w:rPr>
      <w:t>13</w:t>
    </w:r>
    <w:r>
      <w:rPr>
        <w:color w:val="000000"/>
      </w:rPr>
      <w:fldChar w:fldCharType="end"/>
    </w:r>
  </w:p>
  <w:p w:rsidR="00F0033A" w:rsidRDefault="00F0033A">
    <w:pPr>
      <w:pBdr>
        <w:top w:val="nil"/>
        <w:left w:val="nil"/>
        <w:bottom w:val="nil"/>
        <w:right w:val="nil"/>
        <w:between w:val="nil"/>
      </w:pBdr>
      <w:tabs>
        <w:tab w:val="center" w:pos="4680"/>
        <w:tab w:val="right" w:pos="9360"/>
      </w:tabs>
      <w:spacing w:after="0" w:line="240" w:lineRule="auto"/>
      <w:rPr>
        <w:color w:val="00000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0033A" w:rsidRDefault="00F0033A">
    <w:pPr>
      <w:pBdr>
        <w:top w:val="nil"/>
        <w:left w:val="nil"/>
        <w:bottom w:val="nil"/>
        <w:right w:val="nil"/>
        <w:between w:val="nil"/>
      </w:pBdr>
      <w:tabs>
        <w:tab w:val="center" w:pos="4680"/>
        <w:tab w:val="right" w:pos="9360"/>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Pr>
        <w:noProof/>
        <w:color w:val="000000"/>
      </w:rPr>
      <w:t>1</w:t>
    </w:r>
    <w:r>
      <w:rPr>
        <w:color w:val="000000"/>
      </w:rPr>
      <w:fldChar w:fldCharType="end"/>
    </w:r>
  </w:p>
  <w:p w:rsidR="00F0033A" w:rsidRDefault="00F0033A">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1530B" w:rsidRDefault="00C1530B">
      <w:pPr>
        <w:spacing w:after="0" w:line="240" w:lineRule="auto"/>
      </w:pPr>
      <w:r>
        <w:separator/>
      </w:r>
    </w:p>
  </w:footnote>
  <w:footnote w:type="continuationSeparator" w:id="0">
    <w:p w:rsidR="00C1530B" w:rsidRDefault="00C1530B">
      <w:pPr>
        <w:spacing w:after="0" w:line="240" w:lineRule="auto"/>
      </w:pPr>
      <w:r>
        <w:continuationSeparator/>
      </w:r>
    </w:p>
  </w:footnote>
  <w:footnote w:id="1">
    <w:p w:rsidR="00F0033A" w:rsidRDefault="00F0033A">
      <w:pPr>
        <w:pBdr>
          <w:top w:val="nil"/>
          <w:left w:val="nil"/>
          <w:bottom w:val="nil"/>
          <w:right w:val="nil"/>
          <w:between w:val="nil"/>
        </w:pBdr>
        <w:spacing w:after="0" w:line="240" w:lineRule="auto"/>
        <w:rPr>
          <w:color w:val="000000"/>
          <w:sz w:val="20"/>
          <w:szCs w:val="20"/>
        </w:rPr>
      </w:pPr>
      <w:r>
        <w:rPr>
          <w:vertAlign w:val="superscript"/>
        </w:rPr>
        <w:footnoteRef/>
      </w:r>
      <w:r>
        <w:rPr>
          <w:color w:val="000000"/>
          <w:sz w:val="20"/>
          <w:szCs w:val="20"/>
        </w:rPr>
        <w:t xml:space="preserve"> To insert a table within a template cell, copy your table; insert cursor into the template cell; right click, select Paste Options, choose Nested Table (first option). Insert formulas as text or images. Do not use equation editor.</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FA6BA4"/>
    <w:multiLevelType w:val="multilevel"/>
    <w:tmpl w:val="95904AE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nsid w:val="1D33624E"/>
    <w:multiLevelType w:val="multilevel"/>
    <w:tmpl w:val="0D98F5F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7E637F7C"/>
    <w:multiLevelType w:val="hybridMultilevel"/>
    <w:tmpl w:val="08B6892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2780"/>
    <w:rsid w:val="00002DE2"/>
    <w:rsid w:val="001324D4"/>
    <w:rsid w:val="00147776"/>
    <w:rsid w:val="00215A29"/>
    <w:rsid w:val="00291ACC"/>
    <w:rsid w:val="00323C19"/>
    <w:rsid w:val="0035134E"/>
    <w:rsid w:val="0035256B"/>
    <w:rsid w:val="0037733C"/>
    <w:rsid w:val="003C318D"/>
    <w:rsid w:val="003C4830"/>
    <w:rsid w:val="003C48F5"/>
    <w:rsid w:val="003E44FD"/>
    <w:rsid w:val="003E4CCC"/>
    <w:rsid w:val="003F2780"/>
    <w:rsid w:val="003F688B"/>
    <w:rsid w:val="00417072"/>
    <w:rsid w:val="004E1451"/>
    <w:rsid w:val="00531631"/>
    <w:rsid w:val="00555C96"/>
    <w:rsid w:val="0063713E"/>
    <w:rsid w:val="006704F2"/>
    <w:rsid w:val="006E1907"/>
    <w:rsid w:val="00717202"/>
    <w:rsid w:val="007C1965"/>
    <w:rsid w:val="008C6BAB"/>
    <w:rsid w:val="008F3083"/>
    <w:rsid w:val="00AA66A2"/>
    <w:rsid w:val="00AC4843"/>
    <w:rsid w:val="00BB7EBC"/>
    <w:rsid w:val="00C1530B"/>
    <w:rsid w:val="00C340C2"/>
    <w:rsid w:val="00CA1B69"/>
    <w:rsid w:val="00D13443"/>
    <w:rsid w:val="00E05BB3"/>
    <w:rsid w:val="00E86878"/>
    <w:rsid w:val="00E97DAD"/>
    <w:rsid w:val="00EA3C12"/>
    <w:rsid w:val="00EC304C"/>
    <w:rsid w:val="00EF33E5"/>
    <w:rsid w:val="00F0033A"/>
    <w:rsid w:val="00FA3E21"/>
    <w:rsid w:val="00FC42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A80B396-BDFA-42E4-B0E8-36CCFA0470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40" w:after="0"/>
      <w:outlineLvl w:val="0"/>
    </w:pPr>
    <w:rPr>
      <w:color w:val="2E75B5"/>
      <w:sz w:val="32"/>
      <w:szCs w:val="32"/>
    </w:rPr>
  </w:style>
  <w:style w:type="paragraph" w:styleId="Heading2">
    <w:name w:val="heading 2"/>
    <w:basedOn w:val="Normal"/>
    <w:next w:val="Normal"/>
    <w:pPr>
      <w:keepNext/>
      <w:keepLines/>
      <w:spacing w:before="40" w:after="0"/>
      <w:outlineLvl w:val="1"/>
    </w:pPr>
    <w:rPr>
      <w:color w:val="2E75B5"/>
      <w:sz w:val="26"/>
      <w:szCs w:val="2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after="0" w:line="240" w:lineRule="auto"/>
    </w:pPr>
    <w:rPr>
      <w:sz w:val="56"/>
      <w:szCs w:val="56"/>
    </w:rPr>
  </w:style>
  <w:style w:type="paragraph" w:styleId="Subtitle">
    <w:name w:val="Subtitle"/>
    <w:basedOn w:val="Normal"/>
    <w:next w:val="Normal"/>
    <w:rPr>
      <w:color w:val="5A5A5A"/>
    </w:rPr>
  </w:style>
  <w:style w:type="table" w:customStyle="1" w:styleId="a">
    <w:basedOn w:val="TableNormal"/>
    <w:tblPr>
      <w:tblStyleRowBandSize w:val="1"/>
      <w:tblStyleColBandSize w:val="1"/>
      <w:tblInd w:w="0" w:type="dxa"/>
      <w:tblCellMar>
        <w:top w:w="0" w:type="dxa"/>
        <w:left w:w="115" w:type="dxa"/>
        <w:bottom w:w="0" w:type="dxa"/>
        <w:right w:w="115" w:type="dxa"/>
      </w:tblCellMar>
    </w:tblPr>
  </w:style>
  <w:style w:type="table" w:customStyle="1" w:styleId="a0">
    <w:basedOn w:val="TableNormal"/>
    <w:tblPr>
      <w:tblStyleRowBandSize w:val="1"/>
      <w:tblStyleColBandSize w:val="1"/>
      <w:tblInd w:w="0" w:type="dxa"/>
      <w:tblCellMar>
        <w:top w:w="0" w:type="dxa"/>
        <w:left w:w="115" w:type="dxa"/>
        <w:bottom w:w="0" w:type="dxa"/>
        <w:right w:w="115" w:type="dxa"/>
      </w:tblCellMar>
    </w:tblPr>
  </w:style>
  <w:style w:type="table" w:customStyle="1" w:styleId="a1">
    <w:basedOn w:val="TableNormal"/>
    <w:tblPr>
      <w:tblStyleRowBandSize w:val="1"/>
      <w:tblStyleColBandSize w:val="1"/>
      <w:tblInd w:w="0" w:type="dxa"/>
      <w:tblCellMar>
        <w:top w:w="0" w:type="dxa"/>
        <w:left w:w="115" w:type="dxa"/>
        <w:bottom w:w="0" w:type="dxa"/>
        <w:right w:w="115" w:type="dxa"/>
      </w:tblCellMar>
    </w:tblPr>
  </w:style>
  <w:style w:type="table" w:customStyle="1" w:styleId="a2">
    <w:basedOn w:val="TableNormal"/>
    <w:tblPr>
      <w:tblStyleRowBandSize w:val="1"/>
      <w:tblStyleColBandSize w:val="1"/>
      <w:tblInd w:w="0" w:type="dxa"/>
      <w:tblCellMar>
        <w:top w:w="0" w:type="dxa"/>
        <w:left w:w="115" w:type="dxa"/>
        <w:bottom w:w="0" w:type="dxa"/>
        <w:right w:w="115" w:type="dxa"/>
      </w:tblCellMar>
    </w:tblPr>
  </w:style>
  <w:style w:type="table" w:customStyle="1" w:styleId="a3">
    <w:basedOn w:val="TableNormal"/>
    <w:tblPr>
      <w:tblStyleRowBandSize w:val="1"/>
      <w:tblStyleColBandSize w:val="1"/>
      <w:tblInd w:w="0" w:type="dxa"/>
      <w:tblCellMar>
        <w:top w:w="0" w:type="dxa"/>
        <w:left w:w="115" w:type="dxa"/>
        <w:bottom w:w="0" w:type="dxa"/>
        <w:right w:w="115" w:type="dxa"/>
      </w:tblCellMar>
    </w:tblPr>
  </w:style>
  <w:style w:type="table" w:customStyle="1" w:styleId="a4">
    <w:basedOn w:val="TableNormal"/>
    <w:tblPr>
      <w:tblStyleRowBandSize w:val="1"/>
      <w:tblStyleColBandSize w:val="1"/>
      <w:tblInd w:w="0" w:type="dxa"/>
      <w:tblCellMar>
        <w:top w:w="0" w:type="dxa"/>
        <w:left w:w="115" w:type="dxa"/>
        <w:bottom w:w="0" w:type="dxa"/>
        <w:right w:w="115" w:type="dxa"/>
      </w:tblCellMar>
    </w:tblPr>
  </w:style>
  <w:style w:type="table" w:customStyle="1" w:styleId="a5">
    <w:basedOn w:val="TableNormal"/>
    <w:tblPr>
      <w:tblStyleRowBandSize w:val="1"/>
      <w:tblStyleColBandSize w:val="1"/>
      <w:tblInd w:w="0" w:type="dxa"/>
      <w:tblCellMar>
        <w:top w:w="0" w:type="dxa"/>
        <w:left w:w="115" w:type="dxa"/>
        <w:bottom w:w="0" w:type="dxa"/>
        <w:right w:w="115" w:type="dxa"/>
      </w:tblCellMar>
    </w:tblPr>
  </w:style>
  <w:style w:type="table" w:customStyle="1" w:styleId="a6">
    <w:basedOn w:val="TableNormal"/>
    <w:tblPr>
      <w:tblStyleRowBandSize w:val="1"/>
      <w:tblStyleColBandSize w:val="1"/>
      <w:tblInd w:w="0" w:type="dxa"/>
      <w:tblCellMar>
        <w:top w:w="0" w:type="dxa"/>
        <w:left w:w="115" w:type="dxa"/>
        <w:bottom w:w="0" w:type="dxa"/>
        <w:right w:w="115" w:type="dxa"/>
      </w:tblCellMar>
    </w:tblPr>
  </w:style>
  <w:style w:type="table" w:customStyle="1" w:styleId="a7">
    <w:basedOn w:val="TableNormal"/>
    <w:tblPr>
      <w:tblStyleRowBandSize w:val="1"/>
      <w:tblStyleColBandSize w:val="1"/>
      <w:tblInd w:w="0" w:type="dxa"/>
      <w:tblCellMar>
        <w:top w:w="0" w:type="dxa"/>
        <w:left w:w="0" w:type="dxa"/>
        <w:bottom w:w="0" w:type="dxa"/>
        <w:right w:w="0" w:type="dxa"/>
      </w:tblCellMar>
    </w:tblPr>
  </w:style>
  <w:style w:type="table" w:customStyle="1" w:styleId="a8">
    <w:basedOn w:val="TableNormal"/>
    <w:tblPr>
      <w:tblStyleRowBandSize w:val="1"/>
      <w:tblStyleColBandSize w:val="1"/>
      <w:tblInd w:w="0" w:type="dxa"/>
      <w:tblCellMar>
        <w:top w:w="0" w:type="dxa"/>
        <w:left w:w="0" w:type="dxa"/>
        <w:bottom w:w="0" w:type="dxa"/>
        <w:right w:w="0" w:type="dxa"/>
      </w:tblCellMar>
    </w:tblPr>
  </w:style>
  <w:style w:type="paragraph" w:styleId="ListParagraph">
    <w:name w:val="List Paragraph"/>
    <w:basedOn w:val="Normal"/>
    <w:uiPriority w:val="34"/>
    <w:qFormat/>
    <w:rsid w:val="00E05BB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mailto:jsm.cardoso7@gmail.com" TargetMode="External"/><Relationship Id="rId13" Type="http://schemas.openxmlformats.org/officeDocument/2006/relationships/hyperlink" Target="http://www.ine.gov.mz/operacoes-estatisticas/inqueritos/inquerito-sobre-orcamento-familiar/relatorio-final-do-inquerito-ao-orcamento-familiar-iof-2014-15"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www.ine.gov.mz/operacoes-estatisticas/inqueritos/inquerito-sobre-orcamento-familiar/relatorio-final-do-inquerito-ao-orcamento-familiar-iof-200809.pdf"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preventionweb.net/files/16411_thirdnationalpovertyassessment.pdf"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https://www.wider.unu.edu/sites/default/files/Final_QUARTA%20AVALIA%C3%87AO%20NACIONAL%20DA%20POBREZA_2016-10-26_2.pdf" TargetMode="External"/><Relationship Id="rId4" Type="http://schemas.openxmlformats.org/officeDocument/2006/relationships/webSettings" Target="webSettings.xml"/><Relationship Id="rId9" Type="http://schemas.openxmlformats.org/officeDocument/2006/relationships/hyperlink" Target="http://www.ine.gov.mz/operacoes-estatisticas/inqueritos/inquerito-sobre-orcamento-familiar/relatorio-final-do-inquerito-ao-orcamento-familiar-iof-2014-15"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148</TotalTime>
  <Pages>1</Pages>
  <Words>3770</Words>
  <Characters>20361</Characters>
  <Application>Microsoft Office Word</Application>
  <DocSecurity>0</DocSecurity>
  <Lines>169</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HP</cp:lastModifiedBy>
  <cp:revision>35</cp:revision>
  <dcterms:created xsi:type="dcterms:W3CDTF">2020-10-08T17:29:00Z</dcterms:created>
  <dcterms:modified xsi:type="dcterms:W3CDTF">2020-10-09T10:29:00Z</dcterms:modified>
</cp:coreProperties>
</file>