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B14" w:rsidRDefault="002462A6">
      <w:pPr>
        <w:pStyle w:val="Title"/>
        <w:jc w:val="center"/>
        <w:rPr>
          <w:sz w:val="48"/>
          <w:szCs w:val="48"/>
        </w:rPr>
      </w:pPr>
      <w:r>
        <w:rPr>
          <w:sz w:val="48"/>
          <w:szCs w:val="48"/>
        </w:rPr>
        <w:t>SDG Metadata Authoring Tool Template</w:t>
      </w:r>
    </w:p>
    <w:p w:rsidR="003D6B14" w:rsidRDefault="002462A6">
      <w:pPr>
        <w:pStyle w:val="Subtitle"/>
        <w:jc w:val="center"/>
      </w:pPr>
      <w:r>
        <w:t>Word Version 3.1 (DRAFT)</w:t>
      </w:r>
    </w:p>
    <w:p w:rsidR="003D6B14" w:rsidRDefault="002462A6">
      <w:pPr>
        <w:jc w:val="center"/>
      </w:pPr>
      <w:r>
        <w:t>Main and Detailed Concept Collection Form</w:t>
      </w:r>
    </w:p>
    <w:p w:rsidR="003D6B14" w:rsidRDefault="002462A6">
      <w:pPr>
        <w:keepNext/>
        <w:keepLines/>
        <w:pBdr>
          <w:top w:val="nil"/>
          <w:left w:val="nil"/>
          <w:bottom w:val="nil"/>
          <w:right w:val="nil"/>
          <w:between w:val="nil"/>
        </w:pBdr>
        <w:spacing w:before="240" w:after="0"/>
        <w:rPr>
          <w:color w:val="2E75B5"/>
          <w:sz w:val="32"/>
          <w:szCs w:val="32"/>
        </w:rPr>
      </w:pPr>
      <w:r>
        <w:rPr>
          <w:color w:val="2E75B5"/>
          <w:sz w:val="32"/>
          <w:szCs w:val="32"/>
        </w:rPr>
        <w:t>Contents</w:t>
      </w:r>
    </w:p>
    <w:sdt>
      <w:sdtPr>
        <w:id w:val="761809364"/>
        <w:docPartObj>
          <w:docPartGallery w:val="Table of Contents"/>
          <w:docPartUnique/>
        </w:docPartObj>
      </w:sdtPr>
      <w:sdtEndPr/>
      <w:sdtContent>
        <w:p w:rsidR="003D6B14" w:rsidRDefault="002462A6">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gjdgxs">
            <w:r>
              <w:rPr>
                <w:color w:val="000000"/>
              </w:rPr>
              <w:t>Metadata Attachment</w:t>
            </w:r>
            <w:r>
              <w:rPr>
                <w:color w:val="000000"/>
              </w:rPr>
              <w:tab/>
              <w:t>2</w:t>
            </w:r>
          </w:hyperlink>
        </w:p>
        <w:p w:rsidR="003D6B14" w:rsidRDefault="00182DC5">
          <w:pPr>
            <w:pBdr>
              <w:top w:val="nil"/>
              <w:left w:val="nil"/>
              <w:bottom w:val="nil"/>
              <w:right w:val="nil"/>
              <w:between w:val="nil"/>
            </w:pBdr>
            <w:tabs>
              <w:tab w:val="right" w:pos="9350"/>
            </w:tabs>
            <w:spacing w:after="100"/>
            <w:rPr>
              <w:color w:val="000000"/>
            </w:rPr>
          </w:pPr>
          <w:hyperlink w:anchor="_30j0zll">
            <w:r w:rsidR="002462A6">
              <w:rPr>
                <w:color w:val="000000"/>
              </w:rPr>
              <w:t>Metadata Submission Form</w:t>
            </w:r>
            <w:r w:rsidR="002462A6">
              <w:rPr>
                <w:color w:val="000000"/>
              </w:rPr>
              <w:tab/>
              <w:t>2</w:t>
            </w:r>
          </w:hyperlink>
        </w:p>
        <w:p w:rsidR="003D6B14" w:rsidRDefault="00182DC5">
          <w:pPr>
            <w:pBdr>
              <w:top w:val="nil"/>
              <w:left w:val="nil"/>
              <w:bottom w:val="nil"/>
              <w:right w:val="nil"/>
              <w:between w:val="nil"/>
            </w:pBdr>
            <w:tabs>
              <w:tab w:val="right" w:pos="9350"/>
            </w:tabs>
            <w:spacing w:after="100"/>
            <w:ind w:left="220"/>
            <w:rPr>
              <w:color w:val="000000"/>
            </w:rPr>
          </w:pPr>
          <w:hyperlink w:anchor="_1fob9te">
            <w:r w:rsidR="002462A6">
              <w:rPr>
                <w:color w:val="000000"/>
              </w:rPr>
              <w:t>0. Indicator information</w:t>
            </w:r>
            <w:r w:rsidR="002462A6">
              <w:rPr>
                <w:color w:val="000000"/>
              </w:rPr>
              <w:tab/>
              <w:t>2</w:t>
            </w:r>
          </w:hyperlink>
        </w:p>
        <w:p w:rsidR="003D6B14" w:rsidRDefault="00182DC5">
          <w:pPr>
            <w:pBdr>
              <w:top w:val="nil"/>
              <w:left w:val="nil"/>
              <w:bottom w:val="nil"/>
              <w:right w:val="nil"/>
              <w:between w:val="nil"/>
            </w:pBdr>
            <w:tabs>
              <w:tab w:val="right" w:pos="9350"/>
            </w:tabs>
            <w:spacing w:after="100"/>
            <w:ind w:left="220"/>
            <w:rPr>
              <w:color w:val="000000"/>
            </w:rPr>
          </w:pPr>
          <w:hyperlink w:anchor="_3znysh7">
            <w:r w:rsidR="002462A6">
              <w:rPr>
                <w:color w:val="000000"/>
              </w:rPr>
              <w:t>1. Data reporter</w:t>
            </w:r>
            <w:r w:rsidR="002462A6">
              <w:rPr>
                <w:color w:val="000000"/>
              </w:rPr>
              <w:tab/>
              <w:t>2</w:t>
            </w:r>
          </w:hyperlink>
        </w:p>
        <w:p w:rsidR="003D6B14" w:rsidRDefault="00182DC5">
          <w:pPr>
            <w:pBdr>
              <w:top w:val="nil"/>
              <w:left w:val="nil"/>
              <w:bottom w:val="nil"/>
              <w:right w:val="nil"/>
              <w:between w:val="nil"/>
            </w:pBdr>
            <w:tabs>
              <w:tab w:val="right" w:pos="9350"/>
            </w:tabs>
            <w:spacing w:after="100"/>
            <w:ind w:left="220"/>
            <w:rPr>
              <w:color w:val="000000"/>
            </w:rPr>
          </w:pPr>
          <w:hyperlink w:anchor="_2et92p0">
            <w:r w:rsidR="002462A6">
              <w:rPr>
                <w:color w:val="000000"/>
              </w:rPr>
              <w:t>2. Definition, concepts, and classifications</w:t>
            </w:r>
            <w:r w:rsidR="002462A6">
              <w:rPr>
                <w:color w:val="000000"/>
              </w:rPr>
              <w:tab/>
              <w:t>3</w:t>
            </w:r>
          </w:hyperlink>
        </w:p>
        <w:p w:rsidR="003D6B14" w:rsidRDefault="00182DC5">
          <w:pPr>
            <w:pBdr>
              <w:top w:val="nil"/>
              <w:left w:val="nil"/>
              <w:bottom w:val="nil"/>
              <w:right w:val="nil"/>
              <w:between w:val="nil"/>
            </w:pBdr>
            <w:tabs>
              <w:tab w:val="right" w:pos="9350"/>
            </w:tabs>
            <w:spacing w:after="100"/>
            <w:ind w:left="220"/>
            <w:rPr>
              <w:color w:val="000000"/>
            </w:rPr>
          </w:pPr>
          <w:hyperlink w:anchor="_tyjcwt">
            <w:r w:rsidR="002462A6">
              <w:rPr>
                <w:color w:val="000000"/>
              </w:rPr>
              <w:t>3. Data source type and data collection method</w:t>
            </w:r>
            <w:r w:rsidR="002462A6">
              <w:rPr>
                <w:color w:val="000000"/>
              </w:rPr>
              <w:tab/>
              <w:t>3</w:t>
            </w:r>
          </w:hyperlink>
        </w:p>
        <w:p w:rsidR="003D6B14" w:rsidRDefault="00182DC5">
          <w:pPr>
            <w:pBdr>
              <w:top w:val="nil"/>
              <w:left w:val="nil"/>
              <w:bottom w:val="nil"/>
              <w:right w:val="nil"/>
              <w:between w:val="nil"/>
            </w:pBdr>
            <w:tabs>
              <w:tab w:val="right" w:pos="9350"/>
            </w:tabs>
            <w:spacing w:after="100"/>
            <w:ind w:left="220"/>
            <w:rPr>
              <w:color w:val="000000"/>
            </w:rPr>
          </w:pPr>
          <w:hyperlink w:anchor="_3dy6vkm">
            <w:r w:rsidR="002462A6">
              <w:rPr>
                <w:color w:val="000000"/>
              </w:rPr>
              <w:t>4. Other methodological considerations</w:t>
            </w:r>
            <w:r w:rsidR="002462A6">
              <w:rPr>
                <w:color w:val="000000"/>
              </w:rPr>
              <w:tab/>
              <w:t>3</w:t>
            </w:r>
          </w:hyperlink>
        </w:p>
        <w:p w:rsidR="003D6B14" w:rsidRDefault="00182DC5">
          <w:pPr>
            <w:pBdr>
              <w:top w:val="nil"/>
              <w:left w:val="nil"/>
              <w:bottom w:val="nil"/>
              <w:right w:val="nil"/>
              <w:between w:val="nil"/>
            </w:pBdr>
            <w:tabs>
              <w:tab w:val="right" w:pos="9350"/>
            </w:tabs>
            <w:spacing w:after="100"/>
            <w:ind w:left="220"/>
            <w:rPr>
              <w:color w:val="000000"/>
            </w:rPr>
          </w:pPr>
          <w:hyperlink w:anchor="_4d34og8">
            <w:r w:rsidR="002462A6">
              <w:rPr>
                <w:color w:val="000000"/>
              </w:rPr>
              <w:t>5. Data availability and disaggregation</w:t>
            </w:r>
            <w:r w:rsidR="002462A6">
              <w:rPr>
                <w:color w:val="000000"/>
              </w:rPr>
              <w:tab/>
              <w:t>4</w:t>
            </w:r>
          </w:hyperlink>
        </w:p>
        <w:p w:rsidR="003D6B14" w:rsidRDefault="00182DC5">
          <w:pPr>
            <w:pBdr>
              <w:top w:val="nil"/>
              <w:left w:val="nil"/>
              <w:bottom w:val="nil"/>
              <w:right w:val="nil"/>
              <w:between w:val="nil"/>
            </w:pBdr>
            <w:tabs>
              <w:tab w:val="right" w:pos="9350"/>
            </w:tabs>
            <w:spacing w:after="100"/>
            <w:ind w:left="220"/>
            <w:rPr>
              <w:color w:val="000000"/>
            </w:rPr>
          </w:pPr>
          <w:hyperlink w:anchor="_44sinio">
            <w:r w:rsidR="002462A6">
              <w:rPr>
                <w:color w:val="000000"/>
              </w:rPr>
              <w:t>6. Comparability/deviation from international standards</w:t>
            </w:r>
            <w:r w:rsidR="002462A6">
              <w:rPr>
                <w:color w:val="000000"/>
              </w:rPr>
              <w:tab/>
              <w:t>4</w:t>
            </w:r>
          </w:hyperlink>
        </w:p>
        <w:p w:rsidR="003D6B14" w:rsidRDefault="00182DC5">
          <w:pPr>
            <w:pBdr>
              <w:top w:val="nil"/>
              <w:left w:val="nil"/>
              <w:bottom w:val="nil"/>
              <w:right w:val="nil"/>
              <w:between w:val="nil"/>
            </w:pBdr>
            <w:tabs>
              <w:tab w:val="right" w:pos="9350"/>
            </w:tabs>
            <w:spacing w:after="100"/>
            <w:ind w:left="220"/>
            <w:rPr>
              <w:color w:val="000000"/>
            </w:rPr>
          </w:pPr>
          <w:hyperlink w:anchor="_2jxsxqh">
            <w:r w:rsidR="002462A6">
              <w:rPr>
                <w:color w:val="000000"/>
              </w:rPr>
              <w:t>7. References and documentation</w:t>
            </w:r>
            <w:r w:rsidR="002462A6">
              <w:rPr>
                <w:color w:val="000000"/>
              </w:rPr>
              <w:tab/>
              <w:t>4</w:t>
            </w:r>
          </w:hyperlink>
        </w:p>
        <w:p w:rsidR="003D6B14" w:rsidRDefault="00182DC5">
          <w:pPr>
            <w:pBdr>
              <w:top w:val="nil"/>
              <w:left w:val="nil"/>
              <w:bottom w:val="nil"/>
              <w:right w:val="nil"/>
              <w:between w:val="nil"/>
            </w:pBdr>
            <w:tabs>
              <w:tab w:val="right" w:pos="9350"/>
            </w:tabs>
            <w:spacing w:after="100"/>
            <w:rPr>
              <w:color w:val="000000"/>
            </w:rPr>
          </w:pPr>
          <w:hyperlink w:anchor="_2s8eyo1">
            <w:r w:rsidR="002462A6">
              <w:rPr>
                <w:color w:val="000000"/>
              </w:rPr>
              <w:t>Appendices</w:t>
            </w:r>
            <w:r w:rsidR="002462A6">
              <w:rPr>
                <w:color w:val="000000"/>
              </w:rPr>
              <w:tab/>
              <w:t>4</w:t>
            </w:r>
          </w:hyperlink>
        </w:p>
        <w:p w:rsidR="003D6B14" w:rsidRDefault="00182DC5">
          <w:pPr>
            <w:pBdr>
              <w:top w:val="nil"/>
              <w:left w:val="nil"/>
              <w:bottom w:val="nil"/>
              <w:right w:val="nil"/>
              <w:between w:val="nil"/>
            </w:pBdr>
            <w:tabs>
              <w:tab w:val="right" w:pos="9350"/>
            </w:tabs>
            <w:spacing w:after="100"/>
            <w:ind w:left="220"/>
            <w:rPr>
              <w:color w:val="000000"/>
            </w:rPr>
          </w:pPr>
          <w:hyperlink w:anchor="_26in1rg">
            <w:r w:rsidR="002462A6">
              <w:rPr>
                <w:color w:val="000000"/>
              </w:rPr>
              <w:t>A. Definitions of Metadata Concepts</w:t>
            </w:r>
            <w:r w:rsidR="002462A6">
              <w:rPr>
                <w:color w:val="000000"/>
              </w:rPr>
              <w:tab/>
              <w:t>4</w:t>
            </w:r>
          </w:hyperlink>
        </w:p>
        <w:p w:rsidR="003D6B14" w:rsidRDefault="00182DC5">
          <w:pPr>
            <w:pBdr>
              <w:top w:val="nil"/>
              <w:left w:val="nil"/>
              <w:bottom w:val="nil"/>
              <w:right w:val="nil"/>
              <w:between w:val="nil"/>
            </w:pBdr>
            <w:tabs>
              <w:tab w:val="right" w:pos="9350"/>
            </w:tabs>
            <w:spacing w:after="100"/>
            <w:ind w:left="220"/>
            <w:rPr>
              <w:color w:val="000000"/>
            </w:rPr>
          </w:pPr>
          <w:hyperlink w:anchor="_lnxbz9">
            <w:r w:rsidR="002462A6">
              <w:rPr>
                <w:color w:val="000000"/>
              </w:rPr>
              <w:t>B. Mapping of SDMX Detailed Concepts to IAEG-SDG File Format</w:t>
            </w:r>
            <w:r w:rsidR="002462A6">
              <w:rPr>
                <w:color w:val="000000"/>
              </w:rPr>
              <w:tab/>
              <w:t>7</w:t>
            </w:r>
          </w:hyperlink>
        </w:p>
        <w:p w:rsidR="003D6B14" w:rsidRDefault="00182DC5">
          <w:pPr>
            <w:pBdr>
              <w:top w:val="nil"/>
              <w:left w:val="nil"/>
              <w:bottom w:val="nil"/>
              <w:right w:val="nil"/>
              <w:between w:val="nil"/>
            </w:pBdr>
            <w:tabs>
              <w:tab w:val="right" w:pos="9350"/>
            </w:tabs>
            <w:spacing w:after="100"/>
            <w:ind w:left="220"/>
            <w:rPr>
              <w:color w:val="000000"/>
            </w:rPr>
          </w:pPr>
          <w:hyperlink w:anchor="_1ksv4uv">
            <w:r w:rsidR="002462A6">
              <w:rPr>
                <w:color w:val="000000"/>
              </w:rPr>
              <w:t>C. Mapping of IAEG-SDG File Format to SDMX Detailed Concepts</w:t>
            </w:r>
            <w:r w:rsidR="002462A6">
              <w:rPr>
                <w:color w:val="000000"/>
              </w:rPr>
              <w:tab/>
              <w:t>8</w:t>
            </w:r>
          </w:hyperlink>
        </w:p>
        <w:p w:rsidR="003D6B14" w:rsidRDefault="002462A6">
          <w:pPr>
            <w:tabs>
              <w:tab w:val="left" w:pos="910"/>
            </w:tabs>
            <w:rPr>
              <w:b/>
            </w:rPr>
          </w:pPr>
          <w:r>
            <w:fldChar w:fldCharType="end"/>
          </w:r>
        </w:p>
      </w:sdtContent>
    </w:sdt>
    <w:p w:rsidR="003D6B14" w:rsidRDefault="002462A6">
      <w:pPr>
        <w:pBdr>
          <w:top w:val="nil"/>
          <w:left w:val="nil"/>
          <w:bottom w:val="single" w:sz="12" w:space="4" w:color="DDDDDD"/>
          <w:right w:val="nil"/>
          <w:between w:val="nil"/>
        </w:pBdr>
        <w:shd w:val="clear" w:color="auto" w:fill="FFFFFF"/>
        <w:spacing w:after="0" w:line="276" w:lineRule="auto"/>
        <w:rPr>
          <w:color w:val="1C75BC"/>
          <w:sz w:val="36"/>
          <w:szCs w:val="36"/>
        </w:rPr>
      </w:pPr>
      <w:r>
        <w:rPr>
          <w:color w:val="1C75BC"/>
          <w:sz w:val="36"/>
          <w:szCs w:val="36"/>
        </w:rPr>
        <w:t>Instructions</w:t>
      </w:r>
    </w:p>
    <w:p w:rsidR="003D6B14" w:rsidRDefault="002462A6">
      <w:r>
        <w:rPr>
          <w:b/>
        </w:rPr>
        <w:t>This is a template for providing metadata for SDG indicators</w:t>
      </w:r>
      <w:r>
        <w:t xml:space="preserve">. The tables listed below use the SDMX Metadata Concepts prepared by the SDG SDMX Working Group of the IAEG-SDGs to provide a standard format for your metadata. This enables more efficient and accurate processing. </w:t>
      </w:r>
    </w:p>
    <w:p w:rsidR="003D6B14" w:rsidRDefault="002462A6">
      <w:r>
        <w:rPr>
          <w:b/>
        </w:rPr>
        <w:t>Both national and global metadata can be submitted using this tool.</w:t>
      </w:r>
      <w:r>
        <w:t xml:space="preserve"> Headers, text, bullets, tables, formulas, and images can be cut and pasted into their corresponding cell without additional formatting.</w:t>
      </w:r>
      <w:r>
        <w:rPr>
          <w:vertAlign w:val="superscript"/>
        </w:rPr>
        <w:footnoteReference w:id="1"/>
      </w:r>
      <w:r>
        <w:t xml:space="preserve"> A </w:t>
      </w:r>
      <w:hyperlink w:anchor="35nkun2">
        <w:r>
          <w:rPr>
            <w:color w:val="0563C1"/>
            <w:u w:val="single"/>
          </w:rPr>
          <w:t>mapping</w:t>
        </w:r>
      </w:hyperlink>
      <w:r>
        <w:t xml:space="preserve"> of the IAEG-SDG metadata file format to SDMX metadata concepts is also provided.</w:t>
      </w:r>
    </w:p>
    <w:p w:rsidR="003D6B14" w:rsidRDefault="002462A6">
      <w:r>
        <w:rPr>
          <w:b/>
        </w:rPr>
        <w:t>Use only the metadata concepts provided</w:t>
      </w:r>
      <w:r>
        <w:t xml:space="preserve">. Do not add additional metadata concepts. Only the SDMX Metadata Concepts will be read by our automation tool. If you are not sure where to put metadata within the existing SDMX Metadata Concepts, see the </w:t>
      </w:r>
      <w:hyperlink w:anchor="z337ya">
        <w:r>
          <w:rPr>
            <w:color w:val="0563C1"/>
            <w:u w:val="single"/>
          </w:rPr>
          <w:t>descriptions</w:t>
        </w:r>
      </w:hyperlink>
      <w:r>
        <w:t xml:space="preserve"> provided or contact [INSERT].</w:t>
      </w:r>
    </w:p>
    <w:p w:rsidR="003D6B14" w:rsidRDefault="002462A6">
      <w:r>
        <w:rPr>
          <w:b/>
        </w:rPr>
        <w:t>Submit one set of tables for each SDG indicator metadata file</w:t>
      </w:r>
      <w:r>
        <w:t>. Files should be emailed to [INSERT].</w:t>
      </w:r>
    </w:p>
    <w:p w:rsidR="003D6B14" w:rsidRDefault="003D6B14"/>
    <w:p w:rsidR="003D6B14" w:rsidRDefault="002462A6">
      <w:pPr>
        <w:pBdr>
          <w:top w:val="nil"/>
          <w:left w:val="nil"/>
          <w:bottom w:val="single" w:sz="12" w:space="4" w:color="DDDDDD"/>
          <w:right w:val="nil"/>
          <w:between w:val="nil"/>
        </w:pBdr>
        <w:shd w:val="clear" w:color="auto" w:fill="FFFFFF"/>
        <w:spacing w:after="0" w:line="276" w:lineRule="auto"/>
        <w:rPr>
          <w:color w:val="1C75BC"/>
          <w:sz w:val="36"/>
          <w:szCs w:val="36"/>
        </w:rPr>
      </w:pPr>
      <w:bookmarkStart w:id="0" w:name="_gjdgxs" w:colFirst="0" w:colLast="0"/>
      <w:bookmarkEnd w:id="0"/>
      <w:r>
        <w:rPr>
          <w:color w:val="1C75BC"/>
          <w:sz w:val="36"/>
          <w:szCs w:val="36"/>
        </w:rPr>
        <w:t>Metadata Attachment</w:t>
      </w:r>
    </w:p>
    <w:p w:rsidR="003D6B14" w:rsidRDefault="002462A6">
      <w:pPr>
        <w:spacing w:after="0"/>
        <w:rPr>
          <w:sz w:val="26"/>
          <w:szCs w:val="26"/>
        </w:rPr>
      </w:pPr>
      <w:r>
        <w:rPr>
          <w:sz w:val="26"/>
          <w:szCs w:val="26"/>
        </w:rPr>
        <w:t>Reporting type</w:t>
      </w:r>
    </w:p>
    <w:p w:rsidR="003D6B14" w:rsidRDefault="002462A6">
      <w:r>
        <w:t>National</w:t>
      </w:r>
    </w:p>
    <w:p w:rsidR="003D6B14" w:rsidRDefault="002462A6">
      <w:pPr>
        <w:spacing w:after="0"/>
        <w:rPr>
          <w:sz w:val="26"/>
          <w:szCs w:val="26"/>
        </w:rPr>
      </w:pPr>
      <w:r>
        <w:rPr>
          <w:sz w:val="26"/>
          <w:szCs w:val="26"/>
        </w:rPr>
        <w:t>SDG series</w:t>
      </w:r>
    </w:p>
    <w:p w:rsidR="003D6B14" w:rsidRDefault="002462A6">
      <w:r>
        <w:t>6.5.1 Degree of integrated water resources management implementation [6.5.1]</w:t>
      </w:r>
    </w:p>
    <w:p w:rsidR="003D6B14" w:rsidRDefault="002462A6">
      <w:pPr>
        <w:spacing w:after="0"/>
        <w:rPr>
          <w:sz w:val="26"/>
          <w:szCs w:val="26"/>
        </w:rPr>
      </w:pPr>
      <w:r>
        <w:rPr>
          <w:sz w:val="26"/>
          <w:szCs w:val="26"/>
        </w:rPr>
        <w:t>Reference area</w:t>
      </w:r>
    </w:p>
    <w:p w:rsidR="003D6B14" w:rsidRDefault="002462A6">
      <w:r>
        <w:t>Mozambique</w:t>
      </w:r>
    </w:p>
    <w:p w:rsidR="003D6B14" w:rsidRDefault="002462A6">
      <w:pPr>
        <w:spacing w:after="0"/>
        <w:rPr>
          <w:sz w:val="26"/>
          <w:szCs w:val="26"/>
        </w:rPr>
      </w:pPr>
      <w:r>
        <w:rPr>
          <w:sz w:val="26"/>
          <w:szCs w:val="26"/>
        </w:rPr>
        <w:t>Metadata language</w:t>
      </w:r>
    </w:p>
    <w:p w:rsidR="003D6B14" w:rsidRDefault="002462A6">
      <w:r>
        <w:t>English</w:t>
      </w:r>
    </w:p>
    <w:p w:rsidR="003D6B14" w:rsidRDefault="003D6B14"/>
    <w:p w:rsidR="003D6B14" w:rsidRDefault="002462A6">
      <w:pPr>
        <w:pStyle w:val="Heading2"/>
      </w:pPr>
      <w:r>
        <w:t>Import Data Structure Definition</w:t>
      </w:r>
    </w:p>
    <w:p w:rsidR="003D6B14" w:rsidRDefault="002462A6">
      <w:r>
        <w:t>To update the options in the dropdowns according to your SDMX DSD, click the button below:</w:t>
      </w:r>
    </w:p>
    <w:p w:rsidR="003D6B14" w:rsidRDefault="002462A6">
      <w:r>
        <w:rPr>
          <w:noProof/>
        </w:rPr>
        <w:drawing>
          <wp:inline distT="0" distB="0" distL="114300" distR="114300">
            <wp:extent cx="1257300" cy="304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57300" cy="304800"/>
                    </a:xfrm>
                    <a:prstGeom prst="rect">
                      <a:avLst/>
                    </a:prstGeom>
                    <a:ln/>
                  </pic:spPr>
                </pic:pic>
              </a:graphicData>
            </a:graphic>
          </wp:inline>
        </w:drawing>
      </w:r>
    </w:p>
    <w:p w:rsidR="003D6B14" w:rsidRDefault="003D6B14"/>
    <w:p w:rsidR="003D6B14" w:rsidRDefault="002462A6">
      <w:pPr>
        <w:pBdr>
          <w:top w:val="nil"/>
          <w:left w:val="nil"/>
          <w:bottom w:val="single" w:sz="12" w:space="4" w:color="DDDDDD"/>
          <w:right w:val="nil"/>
          <w:between w:val="nil"/>
        </w:pBdr>
        <w:shd w:val="clear" w:color="auto" w:fill="FFFFFF"/>
        <w:spacing w:after="0" w:line="276" w:lineRule="auto"/>
        <w:rPr>
          <w:color w:val="1C75BC"/>
          <w:sz w:val="36"/>
          <w:szCs w:val="36"/>
        </w:rPr>
      </w:pPr>
      <w:bookmarkStart w:id="1" w:name="_30j0zll" w:colFirst="0" w:colLast="0"/>
      <w:bookmarkEnd w:id="1"/>
      <w:r>
        <w:rPr>
          <w:color w:val="1C75BC"/>
          <w:sz w:val="36"/>
          <w:szCs w:val="36"/>
        </w:rPr>
        <w:t>Metadata Submission Form</w:t>
      </w:r>
    </w:p>
    <w:p w:rsidR="003D6B14" w:rsidRDefault="003D6B14"/>
    <w:tbl>
      <w:tblPr>
        <w:tblStyle w:val="a"/>
        <w:tblW w:w="8887" w:type="dxa"/>
        <w:tblLayout w:type="fixed"/>
        <w:tblLook w:val="0400" w:firstRow="0" w:lastRow="0" w:firstColumn="0" w:lastColumn="0" w:noHBand="0" w:noVBand="1"/>
      </w:tblPr>
      <w:tblGrid>
        <w:gridCol w:w="3086"/>
        <w:gridCol w:w="5801"/>
      </w:tblGrid>
      <w:tr w:rsidR="003D6B14">
        <w:trPr>
          <w:trHeight w:val="470"/>
        </w:trPr>
        <w:tc>
          <w:tcPr>
            <w:tcW w:w="8887" w:type="dxa"/>
            <w:gridSpan w:val="2"/>
            <w:tcBorders>
              <w:top w:val="nil"/>
              <w:left w:val="nil"/>
              <w:bottom w:val="nil"/>
              <w:right w:val="nil"/>
            </w:tcBorders>
            <w:shd w:val="clear" w:color="auto" w:fill="auto"/>
            <w:vAlign w:val="bottom"/>
          </w:tcPr>
          <w:p w:rsidR="003D6B14" w:rsidRDefault="002462A6">
            <w:pPr>
              <w:pStyle w:val="Heading2"/>
              <w:rPr>
                <w:rFonts w:ascii="Times New Roman" w:eastAsia="Times New Roman" w:hAnsi="Times New Roman" w:cs="Times New Roman"/>
                <w:sz w:val="32"/>
                <w:szCs w:val="32"/>
              </w:rPr>
            </w:pPr>
            <w:bookmarkStart w:id="2" w:name="_1fob9te" w:colFirst="0" w:colLast="0"/>
            <w:bookmarkEnd w:id="2"/>
            <w:r>
              <w:rPr>
                <w:sz w:val="32"/>
                <w:szCs w:val="32"/>
              </w:rPr>
              <w:t>0. Indicator information</w:t>
            </w:r>
          </w:p>
        </w:tc>
      </w:tr>
      <w:tr w:rsidR="003D6B14">
        <w:trPr>
          <w:trHeight w:val="300"/>
        </w:trPr>
        <w:tc>
          <w:tcPr>
            <w:tcW w:w="3086" w:type="dxa"/>
            <w:tcBorders>
              <w:top w:val="nil"/>
              <w:left w:val="nil"/>
              <w:bottom w:val="nil"/>
              <w:right w:val="nil"/>
            </w:tcBorders>
            <w:shd w:val="clear" w:color="auto" w:fill="D9E1F2"/>
            <w:vAlign w:val="bottom"/>
          </w:tcPr>
          <w:p w:rsidR="003D6B14" w:rsidRDefault="002462A6">
            <w:pPr>
              <w:spacing w:after="0" w:line="240" w:lineRule="auto"/>
              <w:rPr>
                <w:color w:val="000000"/>
              </w:rPr>
            </w:pPr>
            <w:r>
              <w:rPr>
                <w:color w:val="000000"/>
              </w:rPr>
              <w:t>Concept name</w:t>
            </w:r>
          </w:p>
        </w:tc>
        <w:tc>
          <w:tcPr>
            <w:tcW w:w="5801" w:type="dxa"/>
            <w:tcBorders>
              <w:top w:val="nil"/>
              <w:left w:val="nil"/>
              <w:bottom w:val="nil"/>
              <w:right w:val="nil"/>
            </w:tcBorders>
            <w:shd w:val="clear" w:color="auto" w:fill="D9E1F2"/>
            <w:vAlign w:val="bottom"/>
          </w:tcPr>
          <w:p w:rsidR="003D6B14" w:rsidRDefault="002462A6">
            <w:pPr>
              <w:spacing w:after="0" w:line="240" w:lineRule="auto"/>
              <w:rPr>
                <w:i/>
                <w:color w:val="000000"/>
              </w:rPr>
            </w:pPr>
            <w:r>
              <w:rPr>
                <w:i/>
                <w:color w:val="000000"/>
              </w:rPr>
              <w:t xml:space="preserve">Insert text, lists, tables, and images. </w:t>
            </w:r>
          </w:p>
        </w:tc>
      </w:tr>
      <w:tr w:rsidR="003D6B14">
        <w:tc>
          <w:tcPr>
            <w:tcW w:w="3086" w:type="dxa"/>
            <w:tcBorders>
              <w:top w:val="single" w:sz="4" w:space="0" w:color="000000"/>
              <w:left w:val="nil"/>
              <w:bottom w:val="single" w:sz="4" w:space="0" w:color="000000"/>
              <w:right w:val="single" w:sz="4" w:space="0" w:color="000000"/>
            </w:tcBorders>
            <w:shd w:val="clear" w:color="auto" w:fill="E7E6E6"/>
          </w:tcPr>
          <w:p w:rsidR="003D6B14" w:rsidRDefault="002462A6">
            <w:pPr>
              <w:spacing w:after="0" w:line="240" w:lineRule="auto"/>
            </w:pPr>
            <w:r>
              <w:t>0. Indicator information</w:t>
            </w:r>
          </w:p>
        </w:tc>
        <w:tc>
          <w:tcPr>
            <w:tcW w:w="5801" w:type="dxa"/>
            <w:tcBorders>
              <w:top w:val="single" w:sz="4" w:space="0" w:color="000000"/>
              <w:left w:val="nil"/>
              <w:bottom w:val="single" w:sz="4" w:space="0" w:color="000000"/>
              <w:right w:val="single" w:sz="4" w:space="0" w:color="000000"/>
            </w:tcBorders>
            <w:shd w:val="clear" w:color="auto" w:fill="auto"/>
          </w:tcPr>
          <w:p w:rsidR="003D6B14" w:rsidRDefault="003D6B14"/>
        </w:tc>
      </w:tr>
      <w:tr w:rsidR="003D6B14" w:rsidRPr="00182DC5">
        <w:tc>
          <w:tcPr>
            <w:tcW w:w="3086" w:type="dxa"/>
            <w:tcBorders>
              <w:top w:val="single" w:sz="4" w:space="0" w:color="000000"/>
              <w:left w:val="nil"/>
              <w:bottom w:val="single" w:sz="4" w:space="0" w:color="000000"/>
              <w:right w:val="single" w:sz="4" w:space="0" w:color="000000"/>
            </w:tcBorders>
            <w:shd w:val="clear" w:color="auto" w:fill="E7E6E6"/>
          </w:tcPr>
          <w:p w:rsidR="003D6B14" w:rsidRDefault="002462A6">
            <w:pPr>
              <w:spacing w:after="0" w:line="240" w:lineRule="auto"/>
              <w:ind w:left="155"/>
              <w:rPr>
                <w:color w:val="000000"/>
              </w:rPr>
            </w:pPr>
            <w:r>
              <w:t>0.a. Goal</w:t>
            </w:r>
          </w:p>
        </w:tc>
        <w:tc>
          <w:tcPr>
            <w:tcW w:w="5801" w:type="dxa"/>
            <w:tcBorders>
              <w:top w:val="single" w:sz="4" w:space="0" w:color="000000"/>
              <w:left w:val="nil"/>
              <w:bottom w:val="single" w:sz="4" w:space="0" w:color="000000"/>
              <w:right w:val="single" w:sz="4" w:space="0" w:color="000000"/>
            </w:tcBorders>
            <w:shd w:val="clear" w:color="auto" w:fill="auto"/>
          </w:tcPr>
          <w:p w:rsidR="003D6B14" w:rsidRPr="00406B24" w:rsidRDefault="00406B24">
            <w:pPr>
              <w:rPr>
                <w:lang w:val="pt-PT"/>
              </w:rPr>
            </w:pPr>
            <w:r w:rsidRPr="00406B24">
              <w:rPr>
                <w:lang w:val="pt-PT"/>
              </w:rPr>
              <w:t>6 GARANTIR A DISPONIBILIDADE E A GESTÃO SUSTENTÁVEL DA ÁGUA POTÁVEL E DO SANEAMENTO PARA TODOS</w:t>
            </w:r>
          </w:p>
        </w:tc>
      </w:tr>
      <w:tr w:rsidR="003D6B14" w:rsidRPr="00182DC5">
        <w:tc>
          <w:tcPr>
            <w:tcW w:w="3086" w:type="dxa"/>
            <w:tcBorders>
              <w:top w:val="nil"/>
              <w:left w:val="nil"/>
              <w:bottom w:val="single" w:sz="4" w:space="0" w:color="000000"/>
              <w:right w:val="single" w:sz="4" w:space="0" w:color="000000"/>
            </w:tcBorders>
            <w:shd w:val="clear" w:color="auto" w:fill="E7E6E6"/>
          </w:tcPr>
          <w:p w:rsidR="003D6B14" w:rsidRDefault="002462A6">
            <w:pPr>
              <w:spacing w:after="0" w:line="240" w:lineRule="auto"/>
              <w:ind w:left="155"/>
              <w:rPr>
                <w:color w:val="000000"/>
              </w:rPr>
            </w:pPr>
            <w:r>
              <w:t>0.b. Target</w:t>
            </w:r>
          </w:p>
        </w:tc>
        <w:tc>
          <w:tcPr>
            <w:tcW w:w="5801" w:type="dxa"/>
            <w:tcBorders>
              <w:top w:val="nil"/>
              <w:left w:val="nil"/>
              <w:bottom w:val="single" w:sz="4" w:space="0" w:color="000000"/>
              <w:right w:val="single" w:sz="4" w:space="0" w:color="000000"/>
            </w:tcBorders>
            <w:shd w:val="clear" w:color="auto" w:fill="auto"/>
          </w:tcPr>
          <w:p w:rsidR="003D6B14" w:rsidRPr="00406B24" w:rsidRDefault="002462A6">
            <w:pPr>
              <w:rPr>
                <w:lang w:val="pt-PT"/>
              </w:rPr>
            </w:pPr>
            <w:r w:rsidRPr="00406B24">
              <w:rPr>
                <w:lang w:val="pt-PT"/>
              </w:rPr>
              <w:t>6.5 Até 2030, implementar a gestão integrada dos recursos hídricos em todos os níveis, inclusive via cooperação transfronteiriça, conforme apropriado</w:t>
            </w:r>
          </w:p>
        </w:tc>
      </w:tr>
      <w:tr w:rsidR="003D6B14" w:rsidRPr="00182DC5">
        <w:tc>
          <w:tcPr>
            <w:tcW w:w="3086" w:type="dxa"/>
            <w:tcBorders>
              <w:top w:val="nil"/>
              <w:left w:val="nil"/>
              <w:bottom w:val="single" w:sz="4" w:space="0" w:color="000000"/>
              <w:right w:val="single" w:sz="4" w:space="0" w:color="000000"/>
            </w:tcBorders>
            <w:shd w:val="clear" w:color="auto" w:fill="E7E6E6"/>
          </w:tcPr>
          <w:p w:rsidR="003D6B14" w:rsidRDefault="002462A6">
            <w:pPr>
              <w:spacing w:after="0" w:line="240" w:lineRule="auto"/>
              <w:ind w:left="155"/>
              <w:rPr>
                <w:color w:val="000000"/>
              </w:rPr>
            </w:pPr>
            <w:r>
              <w:t>0.c. Indicator</w:t>
            </w:r>
          </w:p>
        </w:tc>
        <w:tc>
          <w:tcPr>
            <w:tcW w:w="5801" w:type="dxa"/>
            <w:tcBorders>
              <w:top w:val="nil"/>
              <w:left w:val="nil"/>
              <w:bottom w:val="single" w:sz="4" w:space="0" w:color="000000"/>
              <w:right w:val="single" w:sz="4" w:space="0" w:color="000000"/>
            </w:tcBorders>
            <w:shd w:val="clear" w:color="auto" w:fill="auto"/>
          </w:tcPr>
          <w:p w:rsidR="003D6B14" w:rsidRPr="00406B24" w:rsidRDefault="00406B24">
            <w:pPr>
              <w:rPr>
                <w:lang w:val="pt-PT"/>
              </w:rPr>
            </w:pPr>
            <w:r w:rsidRPr="00406B24">
              <w:rPr>
                <w:lang w:val="pt-PT"/>
              </w:rPr>
              <w:t>6.5.1 Grau de implementação da gestão integrada de recursos hídricos (0-100)</w:t>
            </w:r>
          </w:p>
        </w:tc>
      </w:tr>
      <w:tr w:rsidR="003D6B14" w:rsidRPr="00182DC5">
        <w:tc>
          <w:tcPr>
            <w:tcW w:w="3086" w:type="dxa"/>
            <w:tcBorders>
              <w:top w:val="nil"/>
              <w:left w:val="nil"/>
              <w:bottom w:val="single" w:sz="4" w:space="0" w:color="000000"/>
              <w:right w:val="single" w:sz="4" w:space="0" w:color="000000"/>
            </w:tcBorders>
            <w:shd w:val="clear" w:color="auto" w:fill="E7E6E6"/>
          </w:tcPr>
          <w:p w:rsidR="003D6B14" w:rsidRDefault="002462A6">
            <w:pPr>
              <w:spacing w:after="0" w:line="240" w:lineRule="auto"/>
              <w:ind w:left="155"/>
              <w:rPr>
                <w:color w:val="000000"/>
              </w:rPr>
            </w:pPr>
            <w:r>
              <w:t>0.d. Series</w:t>
            </w:r>
          </w:p>
        </w:tc>
        <w:tc>
          <w:tcPr>
            <w:tcW w:w="5801" w:type="dxa"/>
            <w:tcBorders>
              <w:top w:val="nil"/>
              <w:left w:val="nil"/>
              <w:bottom w:val="single" w:sz="4" w:space="0" w:color="000000"/>
              <w:right w:val="single" w:sz="4" w:space="0" w:color="000000"/>
            </w:tcBorders>
            <w:shd w:val="clear" w:color="auto" w:fill="auto"/>
          </w:tcPr>
          <w:p w:rsidR="003D6B14" w:rsidRPr="00406B24" w:rsidRDefault="00406B24">
            <w:pPr>
              <w:rPr>
                <w:lang w:val="pt-PT"/>
              </w:rPr>
            </w:pPr>
            <w:r>
              <w:rPr>
                <w:lang w:val="pt-PT"/>
              </w:rPr>
              <w:t>I</w:t>
            </w:r>
            <w:r w:rsidRPr="00406B24">
              <w:rPr>
                <w:lang w:val="pt-PT"/>
              </w:rPr>
              <w:t>mplementação da gestão integrada de recursos hídricos (0-100)</w:t>
            </w:r>
          </w:p>
        </w:tc>
      </w:tr>
      <w:tr w:rsidR="003D6B14">
        <w:tc>
          <w:tcPr>
            <w:tcW w:w="3086" w:type="dxa"/>
            <w:tcBorders>
              <w:top w:val="nil"/>
              <w:left w:val="nil"/>
              <w:bottom w:val="single" w:sz="4" w:space="0" w:color="000000"/>
              <w:right w:val="single" w:sz="4" w:space="0" w:color="000000"/>
            </w:tcBorders>
            <w:shd w:val="clear" w:color="auto" w:fill="E7E6E6"/>
          </w:tcPr>
          <w:p w:rsidR="003D6B14" w:rsidRDefault="002462A6">
            <w:pPr>
              <w:spacing w:after="0" w:line="240" w:lineRule="auto"/>
              <w:ind w:left="155"/>
              <w:rPr>
                <w:color w:val="000000"/>
              </w:rPr>
            </w:pPr>
            <w:r>
              <w:t>0.e. Metadata update</w:t>
            </w:r>
          </w:p>
        </w:tc>
        <w:tc>
          <w:tcPr>
            <w:tcW w:w="5801" w:type="dxa"/>
            <w:tcBorders>
              <w:top w:val="nil"/>
              <w:left w:val="nil"/>
              <w:bottom w:val="single" w:sz="4" w:space="0" w:color="000000"/>
              <w:right w:val="single" w:sz="4" w:space="0" w:color="000000"/>
            </w:tcBorders>
            <w:shd w:val="clear" w:color="auto" w:fill="auto"/>
          </w:tcPr>
          <w:p w:rsidR="003D6B14" w:rsidRDefault="009C4B14" w:rsidP="009C4B14">
            <w:r>
              <w:t>08/10/</w:t>
            </w:r>
            <w:r w:rsidR="002462A6">
              <w:t>2020</w:t>
            </w:r>
          </w:p>
        </w:tc>
      </w:tr>
      <w:tr w:rsidR="003D6B14" w:rsidRPr="00182DC5">
        <w:trPr>
          <w:trHeight w:val="332"/>
        </w:trPr>
        <w:tc>
          <w:tcPr>
            <w:tcW w:w="3086" w:type="dxa"/>
            <w:tcBorders>
              <w:top w:val="nil"/>
              <w:left w:val="nil"/>
              <w:bottom w:val="single" w:sz="4" w:space="0" w:color="000000"/>
              <w:right w:val="single" w:sz="4" w:space="0" w:color="000000"/>
            </w:tcBorders>
            <w:shd w:val="clear" w:color="auto" w:fill="E7E6E6"/>
          </w:tcPr>
          <w:p w:rsidR="003D6B14" w:rsidRDefault="002462A6">
            <w:pPr>
              <w:spacing w:after="0" w:line="240" w:lineRule="auto"/>
              <w:ind w:left="155"/>
              <w:rPr>
                <w:color w:val="000000"/>
              </w:rPr>
            </w:pPr>
            <w:r>
              <w:lastRenderedPageBreak/>
              <w:t>0.f. Related indicators</w:t>
            </w:r>
          </w:p>
        </w:tc>
        <w:tc>
          <w:tcPr>
            <w:tcW w:w="5801" w:type="dxa"/>
            <w:tcBorders>
              <w:top w:val="nil"/>
              <w:left w:val="nil"/>
              <w:bottom w:val="single" w:sz="4" w:space="0" w:color="000000"/>
              <w:right w:val="single" w:sz="4" w:space="0" w:color="000000"/>
            </w:tcBorders>
            <w:shd w:val="clear" w:color="auto" w:fill="auto"/>
          </w:tcPr>
          <w:p w:rsidR="003D6B14" w:rsidRPr="00406B24" w:rsidRDefault="009C4B14">
            <w:pPr>
              <w:rPr>
                <w:lang w:val="pt-PT"/>
              </w:rPr>
            </w:pPr>
            <w:r>
              <w:rPr>
                <w:rFonts w:ascii="Times New Roman" w:eastAsia="Times New Roman" w:hAnsi="Times New Roman" w:cs="Times New Roman"/>
                <w:sz w:val="24"/>
                <w:szCs w:val="24"/>
                <w:lang w:val="pt-PT"/>
              </w:rPr>
              <w:t>Sem vínculos com outros indicadores</w:t>
            </w:r>
          </w:p>
        </w:tc>
      </w:tr>
      <w:tr w:rsidR="003D6B14">
        <w:tc>
          <w:tcPr>
            <w:tcW w:w="3086" w:type="dxa"/>
            <w:tcBorders>
              <w:top w:val="nil"/>
              <w:left w:val="nil"/>
              <w:bottom w:val="single" w:sz="4" w:space="0" w:color="000000"/>
              <w:right w:val="single" w:sz="4" w:space="0" w:color="000000"/>
            </w:tcBorders>
            <w:shd w:val="clear" w:color="auto" w:fill="E7E6E6"/>
          </w:tcPr>
          <w:p w:rsidR="003D6B14" w:rsidRDefault="002462A6">
            <w:pPr>
              <w:spacing w:after="0" w:line="240" w:lineRule="auto"/>
              <w:ind w:left="155"/>
              <w:rPr>
                <w:color w:val="000000"/>
              </w:rPr>
            </w:pPr>
            <w:r>
              <w:t>0.g. International organisations(s) responsible for global monitoring</w:t>
            </w:r>
          </w:p>
        </w:tc>
        <w:tc>
          <w:tcPr>
            <w:tcW w:w="5801" w:type="dxa"/>
            <w:tcBorders>
              <w:top w:val="nil"/>
              <w:left w:val="nil"/>
              <w:bottom w:val="single" w:sz="4" w:space="0" w:color="000000"/>
              <w:right w:val="single" w:sz="4" w:space="0" w:color="000000"/>
            </w:tcBorders>
            <w:shd w:val="clear" w:color="auto" w:fill="auto"/>
          </w:tcPr>
          <w:p w:rsidR="003D6B14" w:rsidRDefault="003D6B14"/>
        </w:tc>
      </w:tr>
    </w:tbl>
    <w:p w:rsidR="003D6B14" w:rsidRDefault="003D6B14"/>
    <w:tbl>
      <w:tblPr>
        <w:tblStyle w:val="a0"/>
        <w:tblW w:w="8887" w:type="dxa"/>
        <w:tblLayout w:type="fixed"/>
        <w:tblLook w:val="0400" w:firstRow="0" w:lastRow="0" w:firstColumn="0" w:lastColumn="0" w:noHBand="0" w:noVBand="1"/>
      </w:tblPr>
      <w:tblGrid>
        <w:gridCol w:w="3182"/>
        <w:gridCol w:w="5705"/>
      </w:tblGrid>
      <w:tr w:rsidR="003D6B14">
        <w:trPr>
          <w:trHeight w:val="432"/>
        </w:trPr>
        <w:tc>
          <w:tcPr>
            <w:tcW w:w="8887" w:type="dxa"/>
            <w:gridSpan w:val="2"/>
            <w:tcBorders>
              <w:top w:val="nil"/>
              <w:left w:val="nil"/>
              <w:bottom w:val="nil"/>
              <w:right w:val="nil"/>
            </w:tcBorders>
            <w:shd w:val="clear" w:color="auto" w:fill="auto"/>
            <w:vAlign w:val="bottom"/>
          </w:tcPr>
          <w:p w:rsidR="003D6B14" w:rsidRDefault="002462A6">
            <w:pPr>
              <w:pStyle w:val="Heading2"/>
              <w:rPr>
                <w:rFonts w:ascii="Times New Roman" w:eastAsia="Times New Roman" w:hAnsi="Times New Roman" w:cs="Times New Roman"/>
                <w:sz w:val="32"/>
                <w:szCs w:val="32"/>
              </w:rPr>
            </w:pPr>
            <w:bookmarkStart w:id="3" w:name="_3znysh7" w:colFirst="0" w:colLast="0"/>
            <w:bookmarkEnd w:id="3"/>
            <w:r>
              <w:rPr>
                <w:sz w:val="32"/>
                <w:szCs w:val="32"/>
              </w:rPr>
              <w:t>1. Data reporter</w:t>
            </w:r>
          </w:p>
        </w:tc>
      </w:tr>
      <w:tr w:rsidR="003D6B14">
        <w:trPr>
          <w:trHeight w:val="300"/>
        </w:trPr>
        <w:tc>
          <w:tcPr>
            <w:tcW w:w="3182" w:type="dxa"/>
            <w:tcBorders>
              <w:top w:val="nil"/>
              <w:left w:val="nil"/>
              <w:bottom w:val="nil"/>
              <w:right w:val="nil"/>
            </w:tcBorders>
            <w:shd w:val="clear" w:color="auto" w:fill="D9E1F2"/>
            <w:vAlign w:val="bottom"/>
          </w:tcPr>
          <w:p w:rsidR="003D6B14" w:rsidRDefault="002462A6">
            <w:pPr>
              <w:spacing w:after="0" w:line="240" w:lineRule="auto"/>
              <w:rPr>
                <w:color w:val="000000"/>
              </w:rPr>
            </w:pPr>
            <w:r>
              <w:rPr>
                <w:color w:val="000000"/>
              </w:rPr>
              <w:t>Concept name</w:t>
            </w:r>
          </w:p>
        </w:tc>
        <w:tc>
          <w:tcPr>
            <w:tcW w:w="5705" w:type="dxa"/>
            <w:tcBorders>
              <w:top w:val="nil"/>
              <w:left w:val="nil"/>
              <w:bottom w:val="nil"/>
              <w:right w:val="nil"/>
            </w:tcBorders>
            <w:shd w:val="clear" w:color="auto" w:fill="D9E1F2"/>
            <w:vAlign w:val="bottom"/>
          </w:tcPr>
          <w:p w:rsidR="003D6B14" w:rsidRDefault="002462A6">
            <w:pPr>
              <w:spacing w:after="0" w:line="240" w:lineRule="auto"/>
              <w:rPr>
                <w:color w:val="000000"/>
              </w:rPr>
            </w:pPr>
            <w:r>
              <w:rPr>
                <w:i/>
                <w:color w:val="000000"/>
              </w:rPr>
              <w:t xml:space="preserve">Insert text, lists, tables, and images. </w:t>
            </w:r>
          </w:p>
        </w:tc>
      </w:tr>
      <w:tr w:rsidR="003D6B14">
        <w:tc>
          <w:tcPr>
            <w:tcW w:w="3182" w:type="dxa"/>
            <w:tcBorders>
              <w:top w:val="single" w:sz="4" w:space="0" w:color="000000"/>
              <w:left w:val="nil"/>
              <w:bottom w:val="single" w:sz="4" w:space="0" w:color="000000"/>
              <w:right w:val="single" w:sz="4" w:space="0" w:color="000000"/>
            </w:tcBorders>
            <w:shd w:val="clear" w:color="auto" w:fill="E7E6E6"/>
          </w:tcPr>
          <w:p w:rsidR="003D6B14" w:rsidRDefault="002462A6">
            <w:pPr>
              <w:spacing w:after="0" w:line="240" w:lineRule="auto"/>
            </w:pPr>
            <w:r>
              <w:t>1. Data reporter</w:t>
            </w:r>
          </w:p>
        </w:tc>
        <w:tc>
          <w:tcPr>
            <w:tcW w:w="5705" w:type="dxa"/>
            <w:tcBorders>
              <w:top w:val="single" w:sz="4" w:space="0" w:color="000000"/>
              <w:left w:val="nil"/>
              <w:bottom w:val="single" w:sz="4" w:space="0" w:color="000000"/>
              <w:right w:val="single" w:sz="4" w:space="0" w:color="000000"/>
            </w:tcBorders>
            <w:shd w:val="clear" w:color="auto" w:fill="auto"/>
          </w:tcPr>
          <w:p w:rsidR="003D6B14" w:rsidRDefault="003D6B14"/>
        </w:tc>
      </w:tr>
      <w:tr w:rsidR="003D6B14" w:rsidRPr="00182DC5">
        <w:tc>
          <w:tcPr>
            <w:tcW w:w="3182" w:type="dxa"/>
            <w:tcBorders>
              <w:top w:val="single" w:sz="4" w:space="0" w:color="000000"/>
              <w:left w:val="nil"/>
              <w:bottom w:val="single" w:sz="4" w:space="0" w:color="000000"/>
              <w:right w:val="single" w:sz="4" w:space="0" w:color="000000"/>
            </w:tcBorders>
            <w:shd w:val="clear" w:color="auto" w:fill="E7E6E6"/>
          </w:tcPr>
          <w:p w:rsidR="003D6B14" w:rsidRDefault="002462A6">
            <w:pPr>
              <w:spacing w:after="0" w:line="240" w:lineRule="auto"/>
              <w:ind w:left="160"/>
              <w:rPr>
                <w:color w:val="000000"/>
              </w:rPr>
            </w:pPr>
            <w:r>
              <w:t>1.a. Organisation</w:t>
            </w:r>
          </w:p>
        </w:tc>
        <w:tc>
          <w:tcPr>
            <w:tcW w:w="5705" w:type="dxa"/>
            <w:tcBorders>
              <w:top w:val="single" w:sz="4" w:space="0" w:color="000000"/>
              <w:left w:val="nil"/>
              <w:bottom w:val="single" w:sz="4" w:space="0" w:color="000000"/>
              <w:right w:val="single" w:sz="4" w:space="0" w:color="000000"/>
            </w:tcBorders>
            <w:shd w:val="clear" w:color="auto" w:fill="auto"/>
          </w:tcPr>
          <w:p w:rsidR="003D6B14" w:rsidRPr="00406B24" w:rsidRDefault="008C505E">
            <w:pPr>
              <w:rPr>
                <w:lang w:val="pt-PT"/>
              </w:rPr>
            </w:pPr>
            <w:r>
              <w:rPr>
                <w:lang w:val="pt-PT"/>
              </w:rPr>
              <w:t>Direcç</w:t>
            </w:r>
            <w:r w:rsidR="002462A6" w:rsidRPr="00406B24">
              <w:rPr>
                <w:lang w:val="pt-PT"/>
              </w:rPr>
              <w:t>ão Nacional de Gestão de Recursos Hídricos</w:t>
            </w:r>
          </w:p>
        </w:tc>
      </w:tr>
      <w:tr w:rsidR="003D6B14">
        <w:tc>
          <w:tcPr>
            <w:tcW w:w="3182" w:type="dxa"/>
            <w:tcBorders>
              <w:top w:val="nil"/>
              <w:left w:val="nil"/>
              <w:bottom w:val="single" w:sz="4" w:space="0" w:color="000000"/>
              <w:right w:val="single" w:sz="4" w:space="0" w:color="000000"/>
            </w:tcBorders>
            <w:shd w:val="clear" w:color="auto" w:fill="E7E6E6"/>
          </w:tcPr>
          <w:p w:rsidR="003D6B14" w:rsidRDefault="002462A6">
            <w:pPr>
              <w:spacing w:after="0" w:line="240" w:lineRule="auto"/>
              <w:ind w:left="160"/>
              <w:rPr>
                <w:color w:val="000000"/>
              </w:rPr>
            </w:pPr>
            <w:r>
              <w:t>1.b. Contact person(s)</w:t>
            </w:r>
          </w:p>
        </w:tc>
        <w:tc>
          <w:tcPr>
            <w:tcW w:w="5705" w:type="dxa"/>
            <w:tcBorders>
              <w:top w:val="nil"/>
              <w:left w:val="nil"/>
              <w:bottom w:val="single" w:sz="4" w:space="0" w:color="000000"/>
              <w:right w:val="single" w:sz="4" w:space="0" w:color="000000"/>
            </w:tcBorders>
            <w:shd w:val="clear" w:color="auto" w:fill="auto"/>
          </w:tcPr>
          <w:p w:rsidR="003D6B14" w:rsidRPr="00C96FC9" w:rsidRDefault="00C96FC9">
            <w:pPr>
              <w:rPr>
                <w:lang w:val="pt-PT"/>
              </w:rPr>
            </w:pPr>
            <w:r w:rsidRPr="00C96FC9">
              <w:rPr>
                <w:lang w:val="pt-PT"/>
              </w:rPr>
              <w:t>Egídio</w:t>
            </w:r>
            <w:r w:rsidR="002462A6" w:rsidRPr="00C96FC9">
              <w:rPr>
                <w:lang w:val="pt-PT"/>
              </w:rPr>
              <w:t xml:space="preserve"> Govate</w:t>
            </w:r>
          </w:p>
        </w:tc>
      </w:tr>
      <w:tr w:rsidR="003D6B14">
        <w:tc>
          <w:tcPr>
            <w:tcW w:w="3182" w:type="dxa"/>
            <w:tcBorders>
              <w:top w:val="nil"/>
              <w:left w:val="nil"/>
              <w:bottom w:val="single" w:sz="4" w:space="0" w:color="000000"/>
              <w:right w:val="single" w:sz="4" w:space="0" w:color="000000"/>
            </w:tcBorders>
            <w:shd w:val="clear" w:color="auto" w:fill="E7E6E6"/>
          </w:tcPr>
          <w:p w:rsidR="003D6B14" w:rsidRDefault="002462A6">
            <w:pPr>
              <w:spacing w:after="0" w:line="240" w:lineRule="auto"/>
              <w:ind w:left="160"/>
              <w:rPr>
                <w:color w:val="000000"/>
              </w:rPr>
            </w:pPr>
            <w:r>
              <w:t>1.c. Contact organisation unit</w:t>
            </w:r>
          </w:p>
        </w:tc>
        <w:tc>
          <w:tcPr>
            <w:tcW w:w="5705" w:type="dxa"/>
            <w:tcBorders>
              <w:top w:val="nil"/>
              <w:left w:val="nil"/>
              <w:bottom w:val="single" w:sz="4" w:space="0" w:color="000000"/>
              <w:right w:val="single" w:sz="4" w:space="0" w:color="000000"/>
            </w:tcBorders>
            <w:shd w:val="clear" w:color="auto" w:fill="auto"/>
          </w:tcPr>
          <w:p w:rsidR="003D6B14" w:rsidRPr="00C96FC9" w:rsidRDefault="002462A6">
            <w:pPr>
              <w:rPr>
                <w:lang w:val="pt-PT"/>
              </w:rPr>
            </w:pPr>
            <w:r w:rsidRPr="00C96FC9">
              <w:rPr>
                <w:lang w:val="pt-PT"/>
              </w:rPr>
              <w:t>Departamento de Planificação</w:t>
            </w:r>
          </w:p>
        </w:tc>
      </w:tr>
      <w:tr w:rsidR="003D6B14">
        <w:tc>
          <w:tcPr>
            <w:tcW w:w="3182" w:type="dxa"/>
            <w:tcBorders>
              <w:top w:val="nil"/>
              <w:left w:val="nil"/>
              <w:bottom w:val="single" w:sz="4" w:space="0" w:color="000000"/>
              <w:right w:val="single" w:sz="4" w:space="0" w:color="000000"/>
            </w:tcBorders>
            <w:shd w:val="clear" w:color="auto" w:fill="E7E6E6"/>
          </w:tcPr>
          <w:p w:rsidR="003D6B14" w:rsidRDefault="002462A6">
            <w:pPr>
              <w:spacing w:after="0" w:line="240" w:lineRule="auto"/>
              <w:ind w:left="160"/>
              <w:rPr>
                <w:color w:val="000000"/>
              </w:rPr>
            </w:pPr>
            <w:r>
              <w:t>1.d. Contact person function</w:t>
            </w:r>
          </w:p>
        </w:tc>
        <w:tc>
          <w:tcPr>
            <w:tcW w:w="5705" w:type="dxa"/>
            <w:tcBorders>
              <w:top w:val="nil"/>
              <w:left w:val="nil"/>
              <w:bottom w:val="single" w:sz="4" w:space="0" w:color="000000"/>
              <w:right w:val="single" w:sz="4" w:space="0" w:color="000000"/>
            </w:tcBorders>
            <w:shd w:val="clear" w:color="auto" w:fill="auto"/>
          </w:tcPr>
          <w:p w:rsidR="003D6B14" w:rsidRPr="00C96FC9" w:rsidRDefault="00C96FC9">
            <w:pPr>
              <w:rPr>
                <w:lang w:val="pt-PT"/>
              </w:rPr>
            </w:pPr>
            <w:r>
              <w:rPr>
                <w:lang w:val="pt-PT"/>
              </w:rPr>
              <w:t>Chefe de</w:t>
            </w:r>
            <w:r w:rsidR="002462A6" w:rsidRPr="00C96FC9">
              <w:rPr>
                <w:lang w:val="pt-PT"/>
              </w:rPr>
              <w:t xml:space="preserve"> Departamento</w:t>
            </w:r>
          </w:p>
        </w:tc>
      </w:tr>
      <w:tr w:rsidR="003D6B14">
        <w:tc>
          <w:tcPr>
            <w:tcW w:w="3182" w:type="dxa"/>
            <w:tcBorders>
              <w:top w:val="nil"/>
              <w:left w:val="nil"/>
              <w:bottom w:val="single" w:sz="4" w:space="0" w:color="000000"/>
              <w:right w:val="single" w:sz="4" w:space="0" w:color="000000"/>
            </w:tcBorders>
            <w:shd w:val="clear" w:color="auto" w:fill="E7E6E6"/>
          </w:tcPr>
          <w:p w:rsidR="003D6B14" w:rsidRDefault="002462A6">
            <w:pPr>
              <w:spacing w:after="0" w:line="240" w:lineRule="auto"/>
              <w:ind w:left="160"/>
              <w:rPr>
                <w:color w:val="000000"/>
              </w:rPr>
            </w:pPr>
            <w:r>
              <w:t>1.e. Contact phone</w:t>
            </w:r>
          </w:p>
        </w:tc>
        <w:tc>
          <w:tcPr>
            <w:tcW w:w="5705" w:type="dxa"/>
            <w:tcBorders>
              <w:top w:val="nil"/>
              <w:left w:val="nil"/>
              <w:bottom w:val="single" w:sz="4" w:space="0" w:color="000000"/>
              <w:right w:val="single" w:sz="4" w:space="0" w:color="000000"/>
            </w:tcBorders>
            <w:shd w:val="clear" w:color="auto" w:fill="auto"/>
          </w:tcPr>
          <w:p w:rsidR="003D6B14" w:rsidRDefault="002462A6">
            <w:r>
              <w:t>+258 84 68 58 064</w:t>
            </w:r>
          </w:p>
        </w:tc>
      </w:tr>
      <w:tr w:rsidR="003D6B14">
        <w:tc>
          <w:tcPr>
            <w:tcW w:w="3182" w:type="dxa"/>
            <w:tcBorders>
              <w:top w:val="nil"/>
              <w:left w:val="nil"/>
              <w:bottom w:val="single" w:sz="4" w:space="0" w:color="000000"/>
              <w:right w:val="single" w:sz="4" w:space="0" w:color="000000"/>
            </w:tcBorders>
            <w:shd w:val="clear" w:color="auto" w:fill="E7E6E6"/>
          </w:tcPr>
          <w:p w:rsidR="003D6B14" w:rsidRDefault="002462A6">
            <w:pPr>
              <w:spacing w:after="0" w:line="240" w:lineRule="auto"/>
              <w:ind w:left="160"/>
              <w:rPr>
                <w:color w:val="000000"/>
              </w:rPr>
            </w:pPr>
            <w:r>
              <w:t>1.f. Contact mail</w:t>
            </w:r>
          </w:p>
        </w:tc>
        <w:tc>
          <w:tcPr>
            <w:tcW w:w="5705" w:type="dxa"/>
            <w:tcBorders>
              <w:top w:val="nil"/>
              <w:left w:val="nil"/>
              <w:bottom w:val="single" w:sz="4" w:space="0" w:color="000000"/>
              <w:right w:val="single" w:sz="4" w:space="0" w:color="000000"/>
            </w:tcBorders>
            <w:shd w:val="clear" w:color="auto" w:fill="auto"/>
          </w:tcPr>
          <w:p w:rsidR="003D6B14" w:rsidRDefault="00182DC5">
            <w:hyperlink r:id="rId8">
              <w:r w:rsidR="002462A6">
                <w:rPr>
                  <w:color w:val="0563C1"/>
                  <w:u w:val="single"/>
                </w:rPr>
                <w:t>egovate@dngrh.gov.mz</w:t>
              </w:r>
            </w:hyperlink>
            <w:r w:rsidR="002462A6">
              <w:t xml:space="preserve"> </w:t>
            </w:r>
          </w:p>
        </w:tc>
      </w:tr>
      <w:tr w:rsidR="003D6B14">
        <w:tc>
          <w:tcPr>
            <w:tcW w:w="3182" w:type="dxa"/>
            <w:tcBorders>
              <w:top w:val="nil"/>
              <w:left w:val="nil"/>
              <w:bottom w:val="single" w:sz="4" w:space="0" w:color="000000"/>
              <w:right w:val="single" w:sz="4" w:space="0" w:color="000000"/>
            </w:tcBorders>
            <w:shd w:val="clear" w:color="auto" w:fill="E7E6E6"/>
          </w:tcPr>
          <w:p w:rsidR="003D6B14" w:rsidRDefault="002462A6">
            <w:pPr>
              <w:spacing w:after="0" w:line="240" w:lineRule="auto"/>
              <w:ind w:left="160"/>
              <w:rPr>
                <w:color w:val="000000"/>
              </w:rPr>
            </w:pPr>
            <w:r>
              <w:t>1.g. Contact email</w:t>
            </w:r>
          </w:p>
        </w:tc>
        <w:tc>
          <w:tcPr>
            <w:tcW w:w="5705" w:type="dxa"/>
            <w:tcBorders>
              <w:top w:val="nil"/>
              <w:left w:val="nil"/>
              <w:bottom w:val="single" w:sz="4" w:space="0" w:color="000000"/>
              <w:right w:val="single" w:sz="4" w:space="0" w:color="000000"/>
            </w:tcBorders>
            <w:shd w:val="clear" w:color="auto" w:fill="auto"/>
          </w:tcPr>
          <w:p w:rsidR="003D6B14" w:rsidRDefault="00182DC5">
            <w:hyperlink r:id="rId9">
              <w:r w:rsidR="002462A6">
                <w:rPr>
                  <w:color w:val="0563C1"/>
                  <w:u w:val="single"/>
                </w:rPr>
                <w:t>egovate@gmail.com</w:t>
              </w:r>
            </w:hyperlink>
          </w:p>
        </w:tc>
      </w:tr>
    </w:tbl>
    <w:p w:rsidR="003D6B14" w:rsidRDefault="003D6B14"/>
    <w:tbl>
      <w:tblPr>
        <w:tblStyle w:val="a1"/>
        <w:tblW w:w="8887" w:type="dxa"/>
        <w:tblLayout w:type="fixed"/>
        <w:tblLook w:val="0400" w:firstRow="0" w:lastRow="0" w:firstColumn="0" w:lastColumn="0" w:noHBand="0" w:noVBand="1"/>
      </w:tblPr>
      <w:tblGrid>
        <w:gridCol w:w="3116"/>
        <w:gridCol w:w="5771"/>
      </w:tblGrid>
      <w:tr w:rsidR="003D6B14">
        <w:trPr>
          <w:trHeight w:val="396"/>
        </w:trPr>
        <w:tc>
          <w:tcPr>
            <w:tcW w:w="8887" w:type="dxa"/>
            <w:gridSpan w:val="2"/>
            <w:tcBorders>
              <w:top w:val="nil"/>
              <w:left w:val="nil"/>
              <w:bottom w:val="nil"/>
              <w:right w:val="nil"/>
            </w:tcBorders>
            <w:shd w:val="clear" w:color="auto" w:fill="auto"/>
            <w:vAlign w:val="bottom"/>
          </w:tcPr>
          <w:p w:rsidR="003D6B14" w:rsidRDefault="002462A6">
            <w:pPr>
              <w:pStyle w:val="Heading2"/>
              <w:rPr>
                <w:sz w:val="32"/>
                <w:szCs w:val="32"/>
              </w:rPr>
            </w:pPr>
            <w:bookmarkStart w:id="4" w:name="_2et92p0" w:colFirst="0" w:colLast="0"/>
            <w:bookmarkEnd w:id="4"/>
            <w:r>
              <w:rPr>
                <w:sz w:val="32"/>
                <w:szCs w:val="32"/>
              </w:rPr>
              <w:t>2. Definition, concepts, and classifications</w:t>
            </w:r>
          </w:p>
        </w:tc>
      </w:tr>
      <w:tr w:rsidR="003D6B14">
        <w:trPr>
          <w:trHeight w:val="300"/>
        </w:trPr>
        <w:tc>
          <w:tcPr>
            <w:tcW w:w="3116" w:type="dxa"/>
            <w:tcBorders>
              <w:top w:val="nil"/>
              <w:left w:val="nil"/>
              <w:bottom w:val="nil"/>
              <w:right w:val="nil"/>
            </w:tcBorders>
            <w:shd w:val="clear" w:color="auto" w:fill="D9E1F2"/>
            <w:vAlign w:val="bottom"/>
          </w:tcPr>
          <w:p w:rsidR="003D6B14" w:rsidRDefault="002462A6">
            <w:pPr>
              <w:spacing w:after="0" w:line="240" w:lineRule="auto"/>
              <w:rPr>
                <w:color w:val="000000"/>
              </w:rPr>
            </w:pPr>
            <w:r>
              <w:rPr>
                <w:color w:val="000000"/>
              </w:rPr>
              <w:t>Concept name</w:t>
            </w:r>
          </w:p>
        </w:tc>
        <w:tc>
          <w:tcPr>
            <w:tcW w:w="5771" w:type="dxa"/>
            <w:tcBorders>
              <w:top w:val="nil"/>
              <w:left w:val="nil"/>
              <w:bottom w:val="nil"/>
              <w:right w:val="nil"/>
            </w:tcBorders>
            <w:shd w:val="clear" w:color="auto" w:fill="D9E1F2"/>
            <w:vAlign w:val="bottom"/>
          </w:tcPr>
          <w:p w:rsidR="003D6B14" w:rsidRDefault="002462A6">
            <w:pPr>
              <w:spacing w:after="0" w:line="240" w:lineRule="auto"/>
              <w:rPr>
                <w:color w:val="000000"/>
              </w:rPr>
            </w:pPr>
            <w:r>
              <w:rPr>
                <w:i/>
                <w:color w:val="000000"/>
              </w:rPr>
              <w:t xml:space="preserve">Insert text, lists, tables, and images. </w:t>
            </w:r>
          </w:p>
        </w:tc>
      </w:tr>
      <w:tr w:rsidR="003D6B14">
        <w:tc>
          <w:tcPr>
            <w:tcW w:w="3116" w:type="dxa"/>
            <w:tcBorders>
              <w:top w:val="single" w:sz="4" w:space="0" w:color="000000"/>
              <w:left w:val="nil"/>
              <w:bottom w:val="single" w:sz="4" w:space="0" w:color="000000"/>
              <w:right w:val="single" w:sz="4" w:space="0" w:color="000000"/>
            </w:tcBorders>
            <w:shd w:val="clear" w:color="auto" w:fill="E7E6E6"/>
          </w:tcPr>
          <w:p w:rsidR="003D6B14" w:rsidRDefault="002462A6">
            <w:pPr>
              <w:spacing w:after="0" w:line="240" w:lineRule="auto"/>
            </w:pPr>
            <w:r>
              <w:t>2. Definition, concepts, and classifications</w:t>
            </w:r>
          </w:p>
        </w:tc>
        <w:tc>
          <w:tcPr>
            <w:tcW w:w="5771" w:type="dxa"/>
            <w:tcBorders>
              <w:top w:val="single" w:sz="4" w:space="0" w:color="000000"/>
              <w:left w:val="nil"/>
              <w:bottom w:val="single" w:sz="4" w:space="0" w:color="000000"/>
              <w:right w:val="single" w:sz="4" w:space="0" w:color="000000"/>
            </w:tcBorders>
            <w:shd w:val="clear" w:color="auto" w:fill="auto"/>
          </w:tcPr>
          <w:p w:rsidR="003D6B14" w:rsidRDefault="003D6B14"/>
        </w:tc>
      </w:tr>
      <w:tr w:rsidR="003D6B14" w:rsidRPr="00182DC5">
        <w:tc>
          <w:tcPr>
            <w:tcW w:w="3116" w:type="dxa"/>
            <w:tcBorders>
              <w:top w:val="single" w:sz="4" w:space="0" w:color="000000"/>
              <w:left w:val="nil"/>
              <w:bottom w:val="single" w:sz="4" w:space="0" w:color="000000"/>
              <w:right w:val="single" w:sz="4" w:space="0" w:color="000000"/>
            </w:tcBorders>
            <w:shd w:val="clear" w:color="auto" w:fill="E7E6E6"/>
          </w:tcPr>
          <w:p w:rsidR="003D6B14" w:rsidRDefault="002462A6">
            <w:pPr>
              <w:spacing w:after="0" w:line="240" w:lineRule="auto"/>
              <w:ind w:left="160"/>
              <w:rPr>
                <w:color w:val="000000"/>
              </w:rPr>
            </w:pPr>
            <w:r>
              <w:t>2.a. Definition and concepts</w:t>
            </w:r>
          </w:p>
        </w:tc>
        <w:tc>
          <w:tcPr>
            <w:tcW w:w="5771" w:type="dxa"/>
            <w:tcBorders>
              <w:top w:val="single" w:sz="4" w:space="0" w:color="000000"/>
              <w:left w:val="nil"/>
              <w:bottom w:val="single" w:sz="4" w:space="0" w:color="000000"/>
              <w:right w:val="single" w:sz="4" w:space="0" w:color="000000"/>
            </w:tcBorders>
            <w:shd w:val="clear" w:color="auto" w:fill="auto"/>
          </w:tcPr>
          <w:p w:rsidR="00A17F27" w:rsidRPr="00A17F27" w:rsidRDefault="00A17F27" w:rsidP="00A97660">
            <w:pPr>
              <w:spacing w:before="120" w:after="120"/>
              <w:jc w:val="both"/>
              <w:rPr>
                <w:rFonts w:asciiTheme="majorHAnsi" w:hAnsiTheme="majorHAnsi" w:cstheme="majorHAnsi"/>
                <w:lang w:val="pt-PT"/>
              </w:rPr>
            </w:pPr>
            <w:r w:rsidRPr="00A17F27">
              <w:rPr>
                <w:rFonts w:asciiTheme="majorHAnsi" w:hAnsiTheme="majorHAnsi" w:cstheme="majorHAnsi"/>
                <w:lang w:val="pt-PT"/>
              </w:rPr>
              <w:t>O conceito de GIRH é medido em 4 componentes principais:</w:t>
            </w:r>
          </w:p>
          <w:p w:rsidR="00A17F27" w:rsidRPr="00A17F27" w:rsidRDefault="00A17F27" w:rsidP="00A17F27">
            <w:pPr>
              <w:pStyle w:val="ListParagraph"/>
              <w:numPr>
                <w:ilvl w:val="0"/>
                <w:numId w:val="1"/>
              </w:numPr>
              <w:spacing w:before="120" w:after="120"/>
              <w:contextualSpacing w:val="0"/>
              <w:jc w:val="both"/>
              <w:rPr>
                <w:rFonts w:asciiTheme="majorHAnsi" w:hAnsiTheme="majorHAnsi" w:cstheme="majorHAnsi"/>
                <w:lang w:val="pt-PT"/>
              </w:rPr>
            </w:pPr>
            <w:r w:rsidRPr="00A17F27">
              <w:rPr>
                <w:rFonts w:asciiTheme="majorHAnsi" w:hAnsiTheme="majorHAnsi" w:cstheme="majorHAnsi"/>
                <w:lang w:val="pt-PT"/>
              </w:rPr>
              <w:t>Ambiente favorável: inclui as políticas, leis, planos e estratégias que criam o "ambiente favorável" para a GIRH.</w:t>
            </w:r>
          </w:p>
          <w:p w:rsidR="00A17F27" w:rsidRPr="00A17F27" w:rsidRDefault="00A17F27" w:rsidP="00A17F27">
            <w:pPr>
              <w:pStyle w:val="ListParagraph"/>
              <w:numPr>
                <w:ilvl w:val="0"/>
                <w:numId w:val="1"/>
              </w:numPr>
              <w:spacing w:before="120" w:after="120"/>
              <w:contextualSpacing w:val="0"/>
              <w:jc w:val="both"/>
              <w:rPr>
                <w:rFonts w:asciiTheme="majorHAnsi" w:hAnsiTheme="majorHAnsi" w:cstheme="majorHAnsi"/>
                <w:lang w:val="pt-PT"/>
              </w:rPr>
            </w:pPr>
            <w:r w:rsidRPr="00A17F27">
              <w:rPr>
                <w:rFonts w:asciiTheme="majorHAnsi" w:hAnsiTheme="majorHAnsi" w:cstheme="majorHAnsi"/>
                <w:lang w:val="pt-PT"/>
              </w:rPr>
              <w:t>Instituições: inclui a gama e os papéis das instituições políticas, sociais, económicas e administrativas que apoiam a implementação da GIRH.</w:t>
            </w:r>
          </w:p>
          <w:p w:rsidR="00A17F27" w:rsidRPr="00A17F27" w:rsidRDefault="00A17F27" w:rsidP="00A17F27">
            <w:pPr>
              <w:pStyle w:val="ListParagraph"/>
              <w:numPr>
                <w:ilvl w:val="0"/>
                <w:numId w:val="1"/>
              </w:numPr>
              <w:spacing w:before="120" w:after="120"/>
              <w:contextualSpacing w:val="0"/>
              <w:jc w:val="both"/>
              <w:rPr>
                <w:rFonts w:asciiTheme="majorHAnsi" w:hAnsiTheme="majorHAnsi" w:cstheme="majorHAnsi"/>
                <w:lang w:val="pt-PT"/>
              </w:rPr>
            </w:pPr>
            <w:r w:rsidRPr="00A17F27">
              <w:rPr>
                <w:rFonts w:asciiTheme="majorHAnsi" w:hAnsiTheme="majorHAnsi" w:cstheme="majorHAnsi"/>
                <w:lang w:val="pt-PT"/>
              </w:rPr>
              <w:t>Instrumentos de Gestão: as ferramentas e actividades que permitem que decisores e usuários façam escolhas racionais e informadas entre acções alternativas.</w:t>
            </w:r>
          </w:p>
          <w:p w:rsidR="003D6B14" w:rsidRPr="00A17F27" w:rsidRDefault="00A17F27" w:rsidP="00A17F27">
            <w:pPr>
              <w:pStyle w:val="ListParagraph"/>
              <w:numPr>
                <w:ilvl w:val="0"/>
                <w:numId w:val="1"/>
              </w:numPr>
              <w:spacing w:before="120" w:after="120"/>
              <w:contextualSpacing w:val="0"/>
              <w:jc w:val="both"/>
              <w:rPr>
                <w:rFonts w:ascii="Times New Roman" w:hAnsi="Times New Roman" w:cs="Times New Roman"/>
                <w:sz w:val="24"/>
                <w:szCs w:val="24"/>
                <w:lang w:val="pt-PT"/>
              </w:rPr>
            </w:pPr>
            <w:r w:rsidRPr="00A17F27">
              <w:rPr>
                <w:rFonts w:asciiTheme="majorHAnsi" w:hAnsiTheme="majorHAnsi" w:cstheme="majorHAnsi"/>
                <w:lang w:val="pt-PT"/>
              </w:rPr>
              <w:lastRenderedPageBreak/>
              <w:t>Financiamento: Orçamento e financiamento disponibilizados e utilizados para o desenvolvimento e gestão de recursos hídricos de várias fontes.</w:t>
            </w:r>
          </w:p>
        </w:tc>
      </w:tr>
      <w:tr w:rsidR="003D6B14">
        <w:tc>
          <w:tcPr>
            <w:tcW w:w="3116" w:type="dxa"/>
            <w:tcBorders>
              <w:top w:val="nil"/>
              <w:left w:val="nil"/>
              <w:bottom w:val="single" w:sz="4" w:space="0" w:color="000000"/>
              <w:right w:val="single" w:sz="4" w:space="0" w:color="000000"/>
            </w:tcBorders>
            <w:shd w:val="clear" w:color="auto" w:fill="E7E6E6"/>
          </w:tcPr>
          <w:p w:rsidR="003D6B14" w:rsidRDefault="002462A6">
            <w:pPr>
              <w:spacing w:after="0" w:line="240" w:lineRule="auto"/>
              <w:ind w:left="160"/>
              <w:rPr>
                <w:color w:val="000000"/>
              </w:rPr>
            </w:pPr>
            <w:r>
              <w:lastRenderedPageBreak/>
              <w:t>2.b. Unit of measure</w:t>
            </w:r>
          </w:p>
        </w:tc>
        <w:tc>
          <w:tcPr>
            <w:tcW w:w="5771" w:type="dxa"/>
            <w:tcBorders>
              <w:top w:val="nil"/>
              <w:left w:val="nil"/>
              <w:bottom w:val="single" w:sz="4" w:space="0" w:color="000000"/>
              <w:right w:val="single" w:sz="4" w:space="0" w:color="000000"/>
            </w:tcBorders>
            <w:shd w:val="clear" w:color="auto" w:fill="auto"/>
          </w:tcPr>
          <w:p w:rsidR="003D6B14" w:rsidRPr="00B63D64" w:rsidRDefault="00A17F27">
            <w:pPr>
              <w:rPr>
                <w:lang w:val="pt-PT"/>
              </w:rPr>
            </w:pPr>
            <w:r w:rsidRPr="00B63D64">
              <w:rPr>
                <w:lang w:val="pt-PT"/>
              </w:rPr>
              <w:t>Percentagem</w:t>
            </w:r>
          </w:p>
        </w:tc>
      </w:tr>
      <w:tr w:rsidR="003D6B14">
        <w:tc>
          <w:tcPr>
            <w:tcW w:w="3116" w:type="dxa"/>
            <w:tcBorders>
              <w:top w:val="nil"/>
              <w:left w:val="nil"/>
              <w:bottom w:val="single" w:sz="4" w:space="0" w:color="000000"/>
              <w:right w:val="single" w:sz="4" w:space="0" w:color="000000"/>
            </w:tcBorders>
            <w:shd w:val="clear" w:color="auto" w:fill="E7E6E6"/>
          </w:tcPr>
          <w:p w:rsidR="003D6B14" w:rsidRDefault="002462A6">
            <w:pPr>
              <w:spacing w:after="0" w:line="240" w:lineRule="auto"/>
              <w:ind w:left="160"/>
              <w:rPr>
                <w:color w:val="000000"/>
              </w:rPr>
            </w:pPr>
            <w:r>
              <w:t>2.c. Classifications</w:t>
            </w:r>
          </w:p>
        </w:tc>
        <w:tc>
          <w:tcPr>
            <w:tcW w:w="5771" w:type="dxa"/>
            <w:tcBorders>
              <w:top w:val="nil"/>
              <w:left w:val="nil"/>
              <w:bottom w:val="single" w:sz="4" w:space="0" w:color="000000"/>
              <w:right w:val="single" w:sz="4" w:space="0" w:color="000000"/>
            </w:tcBorders>
            <w:shd w:val="clear" w:color="auto" w:fill="auto"/>
          </w:tcPr>
          <w:p w:rsidR="003D6B14" w:rsidRDefault="003D6B14"/>
        </w:tc>
      </w:tr>
    </w:tbl>
    <w:p w:rsidR="003D6B14" w:rsidRDefault="003D6B14"/>
    <w:tbl>
      <w:tblPr>
        <w:tblStyle w:val="a2"/>
        <w:tblW w:w="8887" w:type="dxa"/>
        <w:tblLayout w:type="fixed"/>
        <w:tblLook w:val="0400" w:firstRow="0" w:lastRow="0" w:firstColumn="0" w:lastColumn="0" w:noHBand="0" w:noVBand="1"/>
      </w:tblPr>
      <w:tblGrid>
        <w:gridCol w:w="3118"/>
        <w:gridCol w:w="5769"/>
      </w:tblGrid>
      <w:tr w:rsidR="003D6B14">
        <w:trPr>
          <w:trHeight w:val="470"/>
        </w:trPr>
        <w:tc>
          <w:tcPr>
            <w:tcW w:w="8887" w:type="dxa"/>
            <w:gridSpan w:val="2"/>
            <w:tcBorders>
              <w:top w:val="nil"/>
              <w:left w:val="nil"/>
              <w:bottom w:val="nil"/>
              <w:right w:val="nil"/>
            </w:tcBorders>
            <w:shd w:val="clear" w:color="auto" w:fill="auto"/>
            <w:vAlign w:val="bottom"/>
          </w:tcPr>
          <w:p w:rsidR="003D6B14" w:rsidRDefault="002462A6">
            <w:pPr>
              <w:pStyle w:val="Heading2"/>
              <w:rPr>
                <w:sz w:val="32"/>
                <w:szCs w:val="32"/>
              </w:rPr>
            </w:pPr>
            <w:bookmarkStart w:id="5" w:name="_tyjcwt" w:colFirst="0" w:colLast="0"/>
            <w:bookmarkEnd w:id="5"/>
            <w:r>
              <w:rPr>
                <w:sz w:val="32"/>
                <w:szCs w:val="32"/>
              </w:rPr>
              <w:t>3. Data source type and data collection method</w:t>
            </w:r>
          </w:p>
        </w:tc>
      </w:tr>
      <w:tr w:rsidR="003D6B14">
        <w:trPr>
          <w:trHeight w:val="300"/>
        </w:trPr>
        <w:tc>
          <w:tcPr>
            <w:tcW w:w="3118" w:type="dxa"/>
            <w:tcBorders>
              <w:top w:val="nil"/>
              <w:left w:val="nil"/>
              <w:bottom w:val="nil"/>
              <w:right w:val="nil"/>
            </w:tcBorders>
            <w:shd w:val="clear" w:color="auto" w:fill="D9E1F2"/>
            <w:vAlign w:val="bottom"/>
          </w:tcPr>
          <w:p w:rsidR="003D6B14" w:rsidRDefault="002462A6">
            <w:pPr>
              <w:spacing w:after="0" w:line="240" w:lineRule="auto"/>
              <w:rPr>
                <w:color w:val="000000"/>
              </w:rPr>
            </w:pPr>
            <w:r>
              <w:rPr>
                <w:color w:val="000000"/>
              </w:rPr>
              <w:t>Concept name</w:t>
            </w:r>
          </w:p>
        </w:tc>
        <w:tc>
          <w:tcPr>
            <w:tcW w:w="5769" w:type="dxa"/>
            <w:tcBorders>
              <w:top w:val="nil"/>
              <w:left w:val="nil"/>
              <w:bottom w:val="nil"/>
              <w:right w:val="nil"/>
            </w:tcBorders>
            <w:shd w:val="clear" w:color="auto" w:fill="D9E1F2"/>
            <w:vAlign w:val="bottom"/>
          </w:tcPr>
          <w:p w:rsidR="003D6B14" w:rsidRDefault="002462A6">
            <w:pPr>
              <w:spacing w:after="0" w:line="240" w:lineRule="auto"/>
              <w:rPr>
                <w:color w:val="000000"/>
              </w:rPr>
            </w:pPr>
            <w:r>
              <w:rPr>
                <w:i/>
                <w:color w:val="000000"/>
              </w:rPr>
              <w:t xml:space="preserve">Insert text, lists, tables, and images. </w:t>
            </w:r>
          </w:p>
        </w:tc>
      </w:tr>
      <w:tr w:rsidR="003D6B14">
        <w:trPr>
          <w:trHeight w:val="215"/>
        </w:trPr>
        <w:tc>
          <w:tcPr>
            <w:tcW w:w="3118" w:type="dxa"/>
            <w:tcBorders>
              <w:top w:val="single" w:sz="4" w:space="0" w:color="000000"/>
              <w:left w:val="nil"/>
              <w:bottom w:val="single" w:sz="4" w:space="0" w:color="000000"/>
              <w:right w:val="single" w:sz="4" w:space="0" w:color="000000"/>
            </w:tcBorders>
            <w:shd w:val="clear" w:color="auto" w:fill="E7E6E6"/>
          </w:tcPr>
          <w:p w:rsidR="003D6B14" w:rsidRDefault="002462A6">
            <w:pPr>
              <w:spacing w:after="0" w:line="240" w:lineRule="auto"/>
            </w:pPr>
            <w:r>
              <w:t>3. Data source type and collection method</w:t>
            </w:r>
          </w:p>
        </w:tc>
        <w:tc>
          <w:tcPr>
            <w:tcW w:w="5769" w:type="dxa"/>
            <w:tcBorders>
              <w:top w:val="single" w:sz="4" w:space="0" w:color="000000"/>
              <w:left w:val="nil"/>
              <w:bottom w:val="single" w:sz="4" w:space="0" w:color="000000"/>
              <w:right w:val="single" w:sz="4" w:space="0" w:color="000000"/>
            </w:tcBorders>
            <w:shd w:val="clear" w:color="auto" w:fill="auto"/>
          </w:tcPr>
          <w:p w:rsidR="003D6B14" w:rsidRDefault="003D6B14"/>
        </w:tc>
      </w:tr>
      <w:tr w:rsidR="003D6B14" w:rsidRPr="00182DC5">
        <w:trPr>
          <w:trHeight w:val="215"/>
        </w:trPr>
        <w:tc>
          <w:tcPr>
            <w:tcW w:w="3118" w:type="dxa"/>
            <w:tcBorders>
              <w:top w:val="single" w:sz="4" w:space="0" w:color="000000"/>
              <w:left w:val="nil"/>
              <w:bottom w:val="single" w:sz="4" w:space="0" w:color="000000"/>
              <w:right w:val="single" w:sz="4" w:space="0" w:color="000000"/>
            </w:tcBorders>
            <w:shd w:val="clear" w:color="auto" w:fill="E7E6E6"/>
          </w:tcPr>
          <w:p w:rsidR="003D6B14" w:rsidRDefault="002462A6">
            <w:pPr>
              <w:spacing w:after="0" w:line="240" w:lineRule="auto"/>
              <w:ind w:left="160"/>
              <w:rPr>
                <w:color w:val="000000"/>
              </w:rPr>
            </w:pPr>
            <w:r>
              <w:t>3.a. Data sources</w:t>
            </w:r>
          </w:p>
        </w:tc>
        <w:tc>
          <w:tcPr>
            <w:tcW w:w="5769" w:type="dxa"/>
            <w:tcBorders>
              <w:top w:val="single" w:sz="4" w:space="0" w:color="000000"/>
              <w:left w:val="nil"/>
              <w:bottom w:val="single" w:sz="4" w:space="0" w:color="000000"/>
              <w:right w:val="single" w:sz="4" w:space="0" w:color="000000"/>
            </w:tcBorders>
            <w:shd w:val="clear" w:color="auto" w:fill="auto"/>
          </w:tcPr>
          <w:p w:rsidR="003D6B14" w:rsidRPr="00406B24" w:rsidRDefault="001114A6">
            <w:pPr>
              <w:rPr>
                <w:lang w:val="pt-PT"/>
              </w:rPr>
            </w:pPr>
            <w:r>
              <w:rPr>
                <w:lang w:val="pt-PT" w:eastAsia="zh-CN"/>
              </w:rPr>
              <w:t>Ministério das Obras Públicas, Habitação e Recursos Hídricos (</w:t>
            </w:r>
            <w:r w:rsidR="006A1E9E" w:rsidRPr="006A1E9E">
              <w:rPr>
                <w:lang w:val="pt-PT"/>
              </w:rPr>
              <w:t>Direc</w:t>
            </w:r>
            <w:r w:rsidR="006A1E9E" w:rsidRPr="006A1E9E">
              <w:rPr>
                <w:rFonts w:ascii="Cambria" w:eastAsia="Cambria" w:hAnsi="Cambria" w:cs="Cambria"/>
                <w:lang w:val="pt-PT"/>
              </w:rPr>
              <w:t>çã</w:t>
            </w:r>
            <w:r w:rsidR="006A1E9E" w:rsidRPr="006A1E9E">
              <w:rPr>
                <w:lang w:val="pt-PT"/>
              </w:rPr>
              <w:t>o Nacional de Gestão de Recursos Hídricos</w:t>
            </w:r>
            <w:r>
              <w:rPr>
                <w:lang w:val="pt-PT" w:eastAsia="zh-CN"/>
              </w:rPr>
              <w:t>),</w:t>
            </w:r>
            <w:r w:rsidRPr="00560F6F">
              <w:rPr>
                <w:lang w:val="pt-PT" w:eastAsia="zh-CN"/>
              </w:rPr>
              <w:t xml:space="preserve"> registos administrativos</w:t>
            </w:r>
            <w:r>
              <w:rPr>
                <w:lang w:val="pt-PT" w:eastAsia="zh-CN"/>
              </w:rPr>
              <w:t>.</w:t>
            </w:r>
          </w:p>
        </w:tc>
      </w:tr>
      <w:tr w:rsidR="003D6B14" w:rsidRPr="00182DC5">
        <w:tc>
          <w:tcPr>
            <w:tcW w:w="3118" w:type="dxa"/>
            <w:tcBorders>
              <w:top w:val="nil"/>
              <w:left w:val="nil"/>
              <w:bottom w:val="single" w:sz="4" w:space="0" w:color="000000"/>
              <w:right w:val="single" w:sz="4" w:space="0" w:color="000000"/>
            </w:tcBorders>
            <w:shd w:val="clear" w:color="auto" w:fill="E7E6E6"/>
          </w:tcPr>
          <w:p w:rsidR="003D6B14" w:rsidRDefault="002462A6">
            <w:pPr>
              <w:spacing w:after="0" w:line="240" w:lineRule="auto"/>
              <w:ind w:left="160"/>
              <w:rPr>
                <w:color w:val="000000"/>
              </w:rPr>
            </w:pPr>
            <w:r>
              <w:t>3.b. Data collection method</w:t>
            </w:r>
          </w:p>
        </w:tc>
        <w:tc>
          <w:tcPr>
            <w:tcW w:w="5769" w:type="dxa"/>
            <w:tcBorders>
              <w:top w:val="nil"/>
              <w:left w:val="nil"/>
              <w:bottom w:val="single" w:sz="4" w:space="0" w:color="000000"/>
              <w:right w:val="single" w:sz="4" w:space="0" w:color="000000"/>
            </w:tcBorders>
            <w:shd w:val="clear" w:color="auto" w:fill="auto"/>
          </w:tcPr>
          <w:p w:rsidR="003D6B14" w:rsidRPr="00406B24" w:rsidRDefault="00E83B55" w:rsidP="00443420">
            <w:pPr>
              <w:jc w:val="both"/>
              <w:rPr>
                <w:lang w:val="pt-PT"/>
              </w:rPr>
            </w:pPr>
            <w:r>
              <w:rPr>
                <w:lang w:val="pt-PT"/>
              </w:rPr>
              <w:t xml:space="preserve">As Nações Unidas criaram um modelo padrão de recolha de dados para que os diversos intervenientes do processo de </w:t>
            </w:r>
            <w:r w:rsidRPr="00406B24">
              <w:rPr>
                <w:lang w:val="pt-PT"/>
              </w:rPr>
              <w:t>gestão integrada de recursos hídricos</w:t>
            </w:r>
            <w:r>
              <w:rPr>
                <w:lang w:val="pt-PT"/>
              </w:rPr>
              <w:t xml:space="preserve">. Para poder-se garantir a recolha dos dados a nível nacional, o </w:t>
            </w:r>
            <w:r w:rsidR="00443420">
              <w:rPr>
                <w:lang w:val="pt-PT"/>
              </w:rPr>
              <w:t xml:space="preserve">Ministério </w:t>
            </w:r>
            <w:r w:rsidR="00443420">
              <w:rPr>
                <w:lang w:val="pt-PT" w:eastAsia="zh-CN"/>
              </w:rPr>
              <w:t>das Obras Públicas, Habitação e Recursos Hídricos</w:t>
            </w:r>
            <w:r>
              <w:rPr>
                <w:lang w:val="pt-PT"/>
              </w:rPr>
              <w:t xml:space="preserve"> </w:t>
            </w:r>
            <w:r w:rsidR="00443420">
              <w:rPr>
                <w:lang w:val="pt-PT"/>
              </w:rPr>
              <w:t>realiza</w:t>
            </w:r>
            <w:r>
              <w:rPr>
                <w:lang w:val="pt-PT"/>
              </w:rPr>
              <w:t xml:space="preserve"> no segundo semestre </w:t>
            </w:r>
            <w:r w:rsidR="00443420">
              <w:rPr>
                <w:lang w:val="pt-PT"/>
              </w:rPr>
              <w:t xml:space="preserve">de cada </w:t>
            </w:r>
            <w:r>
              <w:rPr>
                <w:lang w:val="pt-PT"/>
              </w:rPr>
              <w:t>ano</w:t>
            </w:r>
            <w:r w:rsidR="00443420">
              <w:rPr>
                <w:lang w:val="pt-PT"/>
              </w:rPr>
              <w:t>, um</w:t>
            </w:r>
            <w:r>
              <w:rPr>
                <w:lang w:val="pt-PT"/>
              </w:rPr>
              <w:t xml:space="preserve"> </w:t>
            </w:r>
            <w:r w:rsidR="00443420">
              <w:rPr>
                <w:lang w:val="pt-PT"/>
              </w:rPr>
              <w:t>seminário com as equipas técnicas de planificação que possibilita</w:t>
            </w:r>
            <w:r>
              <w:rPr>
                <w:lang w:val="pt-PT"/>
              </w:rPr>
              <w:t xml:space="preserve"> </w:t>
            </w:r>
            <w:r w:rsidR="00443420">
              <w:rPr>
                <w:lang w:val="pt-PT"/>
              </w:rPr>
              <w:t>o preenchimento do modelo.</w:t>
            </w:r>
            <w:r>
              <w:rPr>
                <w:lang w:val="pt-PT"/>
              </w:rPr>
              <w:t xml:space="preserve"> </w:t>
            </w:r>
          </w:p>
        </w:tc>
      </w:tr>
      <w:tr w:rsidR="003D6B14" w:rsidRPr="00406B24">
        <w:tc>
          <w:tcPr>
            <w:tcW w:w="3118" w:type="dxa"/>
            <w:tcBorders>
              <w:top w:val="nil"/>
              <w:left w:val="nil"/>
              <w:bottom w:val="single" w:sz="4" w:space="0" w:color="000000"/>
              <w:right w:val="single" w:sz="4" w:space="0" w:color="000000"/>
            </w:tcBorders>
            <w:shd w:val="clear" w:color="auto" w:fill="E7E6E6"/>
          </w:tcPr>
          <w:p w:rsidR="003D6B14" w:rsidRPr="00E83B55" w:rsidRDefault="002462A6">
            <w:pPr>
              <w:spacing w:after="0" w:line="240" w:lineRule="auto"/>
              <w:ind w:left="160"/>
              <w:rPr>
                <w:color w:val="000000"/>
                <w:lang w:val="pt-PT"/>
              </w:rPr>
            </w:pPr>
            <w:r w:rsidRPr="00E83B55">
              <w:rPr>
                <w:lang w:val="pt-PT"/>
              </w:rPr>
              <w:t>3.c. Data collection calendar</w:t>
            </w:r>
          </w:p>
        </w:tc>
        <w:tc>
          <w:tcPr>
            <w:tcW w:w="5769" w:type="dxa"/>
            <w:tcBorders>
              <w:top w:val="nil"/>
              <w:left w:val="nil"/>
              <w:bottom w:val="single" w:sz="4" w:space="0" w:color="000000"/>
              <w:right w:val="single" w:sz="4" w:space="0" w:color="000000"/>
            </w:tcBorders>
            <w:shd w:val="clear" w:color="auto" w:fill="auto"/>
          </w:tcPr>
          <w:p w:rsidR="003D6B14" w:rsidRPr="00406B24" w:rsidRDefault="00757894">
            <w:pPr>
              <w:rPr>
                <w:lang w:val="pt-PT"/>
              </w:rPr>
            </w:pPr>
            <w:r>
              <w:rPr>
                <w:lang w:val="pt-PT"/>
              </w:rPr>
              <w:t>Outubro de 2021</w:t>
            </w:r>
          </w:p>
        </w:tc>
      </w:tr>
      <w:tr w:rsidR="003D6B14">
        <w:tc>
          <w:tcPr>
            <w:tcW w:w="3118" w:type="dxa"/>
            <w:tcBorders>
              <w:top w:val="nil"/>
              <w:left w:val="nil"/>
              <w:bottom w:val="single" w:sz="4" w:space="0" w:color="000000"/>
              <w:right w:val="single" w:sz="4" w:space="0" w:color="000000"/>
            </w:tcBorders>
            <w:shd w:val="clear" w:color="auto" w:fill="E7E6E6"/>
          </w:tcPr>
          <w:p w:rsidR="003D6B14" w:rsidRPr="00E83B55" w:rsidRDefault="002462A6">
            <w:pPr>
              <w:spacing w:after="0" w:line="240" w:lineRule="auto"/>
              <w:ind w:left="160"/>
              <w:rPr>
                <w:color w:val="000000"/>
                <w:lang w:val="pt-PT"/>
              </w:rPr>
            </w:pPr>
            <w:r w:rsidRPr="00E83B55">
              <w:rPr>
                <w:lang w:val="pt-PT"/>
              </w:rPr>
              <w:t>3.d. Data release calendar</w:t>
            </w:r>
          </w:p>
        </w:tc>
        <w:tc>
          <w:tcPr>
            <w:tcW w:w="5769" w:type="dxa"/>
            <w:tcBorders>
              <w:top w:val="nil"/>
              <w:left w:val="nil"/>
              <w:bottom w:val="single" w:sz="4" w:space="0" w:color="000000"/>
              <w:right w:val="single" w:sz="4" w:space="0" w:color="000000"/>
            </w:tcBorders>
            <w:shd w:val="clear" w:color="auto" w:fill="auto"/>
          </w:tcPr>
          <w:p w:rsidR="003D6B14" w:rsidRDefault="00757894">
            <w:r>
              <w:rPr>
                <w:lang w:val="pt-PT"/>
              </w:rPr>
              <w:t>Dezembro de 2021</w:t>
            </w:r>
          </w:p>
        </w:tc>
      </w:tr>
      <w:tr w:rsidR="003D6B14" w:rsidRPr="00182DC5">
        <w:tc>
          <w:tcPr>
            <w:tcW w:w="3118" w:type="dxa"/>
            <w:tcBorders>
              <w:top w:val="nil"/>
              <w:left w:val="nil"/>
              <w:bottom w:val="single" w:sz="4" w:space="0" w:color="000000"/>
              <w:right w:val="single" w:sz="4" w:space="0" w:color="000000"/>
            </w:tcBorders>
            <w:shd w:val="clear" w:color="auto" w:fill="E7E6E6"/>
          </w:tcPr>
          <w:p w:rsidR="003D6B14" w:rsidRDefault="002462A6">
            <w:pPr>
              <w:spacing w:after="0" w:line="240" w:lineRule="auto"/>
              <w:ind w:left="160"/>
              <w:rPr>
                <w:color w:val="000000"/>
              </w:rPr>
            </w:pPr>
            <w:r>
              <w:t>3.e. Data providers</w:t>
            </w:r>
          </w:p>
        </w:tc>
        <w:tc>
          <w:tcPr>
            <w:tcW w:w="5769" w:type="dxa"/>
            <w:tcBorders>
              <w:top w:val="nil"/>
              <w:left w:val="nil"/>
              <w:bottom w:val="single" w:sz="4" w:space="0" w:color="000000"/>
              <w:right w:val="single" w:sz="4" w:space="0" w:color="000000"/>
            </w:tcBorders>
            <w:shd w:val="clear" w:color="auto" w:fill="auto"/>
          </w:tcPr>
          <w:p w:rsidR="003D6B14" w:rsidRPr="00406B24" w:rsidRDefault="008F43F7">
            <w:pPr>
              <w:rPr>
                <w:lang w:val="pt-PT"/>
              </w:rPr>
            </w:pPr>
            <w:r>
              <w:rPr>
                <w:lang w:val="pt-PT" w:eastAsia="zh-CN"/>
              </w:rPr>
              <w:t>Ministério das Obras Públicas, Habitação e Recursos Hídricos</w:t>
            </w:r>
          </w:p>
        </w:tc>
      </w:tr>
      <w:tr w:rsidR="003D6B14" w:rsidRPr="00182DC5">
        <w:tc>
          <w:tcPr>
            <w:tcW w:w="3118" w:type="dxa"/>
            <w:tcBorders>
              <w:top w:val="nil"/>
              <w:left w:val="nil"/>
              <w:bottom w:val="single" w:sz="4" w:space="0" w:color="000000"/>
              <w:right w:val="single" w:sz="4" w:space="0" w:color="000000"/>
            </w:tcBorders>
            <w:shd w:val="clear" w:color="auto" w:fill="E7E6E6"/>
          </w:tcPr>
          <w:p w:rsidR="003D6B14" w:rsidRDefault="002462A6">
            <w:pPr>
              <w:spacing w:after="0" w:line="240" w:lineRule="auto"/>
              <w:ind w:left="160"/>
              <w:rPr>
                <w:color w:val="000000"/>
              </w:rPr>
            </w:pPr>
            <w:r>
              <w:t>3.f. Data compilers</w:t>
            </w:r>
          </w:p>
        </w:tc>
        <w:tc>
          <w:tcPr>
            <w:tcW w:w="5769" w:type="dxa"/>
            <w:tcBorders>
              <w:top w:val="nil"/>
              <w:left w:val="nil"/>
              <w:bottom w:val="single" w:sz="4" w:space="0" w:color="000000"/>
              <w:right w:val="single" w:sz="4" w:space="0" w:color="000000"/>
            </w:tcBorders>
            <w:shd w:val="clear" w:color="auto" w:fill="auto"/>
          </w:tcPr>
          <w:p w:rsidR="003D6B14" w:rsidRPr="00406B24" w:rsidRDefault="008F43F7">
            <w:pPr>
              <w:rPr>
                <w:lang w:val="pt-PT"/>
              </w:rPr>
            </w:pPr>
            <w:r>
              <w:rPr>
                <w:lang w:val="pt-PT" w:eastAsia="zh-CN"/>
              </w:rPr>
              <w:t>Ministério das Obras Públicas, Habitação e Recursos Hídricos</w:t>
            </w:r>
            <w:r w:rsidRPr="00406B24">
              <w:rPr>
                <w:lang w:val="pt-PT"/>
              </w:rPr>
              <w:t xml:space="preserve"> </w:t>
            </w:r>
            <w:r>
              <w:rPr>
                <w:lang w:val="pt-PT"/>
              </w:rPr>
              <w:t xml:space="preserve">- </w:t>
            </w:r>
            <w:r w:rsidR="002462A6" w:rsidRPr="00406B24">
              <w:rPr>
                <w:lang w:val="pt-PT"/>
              </w:rPr>
              <w:t>Direc</w:t>
            </w:r>
            <w:r w:rsidR="002462A6" w:rsidRPr="00406B24">
              <w:rPr>
                <w:rFonts w:ascii="Cambria" w:eastAsia="Cambria" w:hAnsi="Cambria" w:cs="Cambria"/>
                <w:lang w:val="pt-PT"/>
              </w:rPr>
              <w:t>çã</w:t>
            </w:r>
            <w:r w:rsidR="002462A6" w:rsidRPr="00406B24">
              <w:rPr>
                <w:lang w:val="pt-PT"/>
              </w:rPr>
              <w:t>o Nacional de Gestão de Recursos Hídricos</w:t>
            </w:r>
          </w:p>
        </w:tc>
      </w:tr>
      <w:tr w:rsidR="003D6B14" w:rsidRPr="00182DC5">
        <w:tc>
          <w:tcPr>
            <w:tcW w:w="3118" w:type="dxa"/>
            <w:tcBorders>
              <w:top w:val="nil"/>
              <w:left w:val="nil"/>
              <w:bottom w:val="single" w:sz="4" w:space="0" w:color="000000"/>
              <w:right w:val="single" w:sz="4" w:space="0" w:color="000000"/>
            </w:tcBorders>
            <w:shd w:val="clear" w:color="auto" w:fill="E7E6E6"/>
          </w:tcPr>
          <w:p w:rsidR="003D6B14" w:rsidRDefault="002462A6">
            <w:pPr>
              <w:spacing w:after="0" w:line="240" w:lineRule="auto"/>
              <w:ind w:left="160"/>
              <w:rPr>
                <w:color w:val="000000"/>
              </w:rPr>
            </w:pPr>
            <w:r>
              <w:t>3.g. Institutional mandate</w:t>
            </w:r>
          </w:p>
        </w:tc>
        <w:tc>
          <w:tcPr>
            <w:tcW w:w="5769" w:type="dxa"/>
            <w:tcBorders>
              <w:top w:val="nil"/>
              <w:left w:val="nil"/>
              <w:bottom w:val="single" w:sz="4" w:space="0" w:color="000000"/>
              <w:right w:val="single" w:sz="4" w:space="0" w:color="000000"/>
            </w:tcBorders>
            <w:shd w:val="clear" w:color="auto" w:fill="auto"/>
          </w:tcPr>
          <w:p w:rsidR="003D6B14" w:rsidRPr="005B0E41" w:rsidRDefault="002462A6" w:rsidP="005B0E41">
            <w:pPr>
              <w:jc w:val="both"/>
              <w:rPr>
                <w:rFonts w:asciiTheme="majorHAnsi" w:hAnsiTheme="majorHAnsi" w:cstheme="majorHAnsi"/>
                <w:lang w:val="pt-PT"/>
              </w:rPr>
            </w:pPr>
            <w:r w:rsidRPr="005B0E41">
              <w:rPr>
                <w:rFonts w:asciiTheme="majorHAnsi" w:hAnsiTheme="majorHAnsi" w:cstheme="majorHAnsi"/>
                <w:lang w:val="pt-PT"/>
              </w:rPr>
              <w:t>De acordo com o Diploma Ministerial n</w:t>
            </w:r>
            <m:oMath>
              <m:r>
                <w:rPr>
                  <w:rFonts w:ascii="Cambria Math" w:hAnsi="Cambria Math" w:cstheme="majorHAnsi"/>
                  <w:lang w:val="pt-PT"/>
                </w:rPr>
                <m:t>º</m:t>
              </m:r>
            </m:oMath>
            <w:r w:rsidR="005B0E41" w:rsidRPr="005B0E41">
              <w:rPr>
                <w:rFonts w:asciiTheme="majorHAnsi" w:hAnsiTheme="majorHAnsi" w:cstheme="majorHAnsi"/>
                <w:lang w:val="pt-PT"/>
              </w:rPr>
              <w:t xml:space="preserve"> 72/2012, o</w:t>
            </w:r>
            <w:r w:rsidRPr="005B0E41">
              <w:rPr>
                <w:rFonts w:asciiTheme="majorHAnsi" w:hAnsiTheme="majorHAnsi" w:cstheme="majorHAnsi"/>
                <w:lang w:val="pt-PT"/>
              </w:rPr>
              <w:t xml:space="preserve"> I</w:t>
            </w:r>
            <w:r w:rsidR="005B0E41" w:rsidRPr="005B0E41">
              <w:rPr>
                <w:rFonts w:asciiTheme="majorHAnsi" w:hAnsiTheme="majorHAnsi" w:cstheme="majorHAnsi"/>
                <w:lang w:val="pt-PT"/>
              </w:rPr>
              <w:t xml:space="preserve">nstituto </w:t>
            </w:r>
            <w:r w:rsidRPr="005B0E41">
              <w:rPr>
                <w:rFonts w:asciiTheme="majorHAnsi" w:hAnsiTheme="majorHAnsi" w:cstheme="majorHAnsi"/>
                <w:lang w:val="pt-PT"/>
              </w:rPr>
              <w:t>N</w:t>
            </w:r>
            <w:r w:rsidR="005B0E41" w:rsidRPr="005B0E41">
              <w:rPr>
                <w:rFonts w:asciiTheme="majorHAnsi" w:hAnsiTheme="majorHAnsi" w:cstheme="majorHAnsi"/>
                <w:lang w:val="pt-PT"/>
              </w:rPr>
              <w:t xml:space="preserve">acional de </w:t>
            </w:r>
            <w:r w:rsidRPr="005B0E41">
              <w:rPr>
                <w:rFonts w:asciiTheme="majorHAnsi" w:hAnsiTheme="majorHAnsi" w:cstheme="majorHAnsi"/>
                <w:lang w:val="pt-PT"/>
              </w:rPr>
              <w:t>E</w:t>
            </w:r>
            <w:r w:rsidR="005B0E41" w:rsidRPr="005B0E41">
              <w:rPr>
                <w:rFonts w:asciiTheme="majorHAnsi" w:hAnsiTheme="majorHAnsi" w:cstheme="majorHAnsi"/>
                <w:lang w:val="pt-PT"/>
              </w:rPr>
              <w:t>statística</w:t>
            </w:r>
            <w:r w:rsidRPr="005B0E41">
              <w:rPr>
                <w:rFonts w:asciiTheme="majorHAnsi" w:hAnsiTheme="majorHAnsi" w:cstheme="majorHAnsi"/>
                <w:lang w:val="pt-PT"/>
              </w:rPr>
              <w:t xml:space="preserve"> delegou </w:t>
            </w:r>
            <w:r w:rsidR="005B0E41" w:rsidRPr="005B0E41">
              <w:rPr>
                <w:rFonts w:asciiTheme="majorHAnsi" w:hAnsiTheme="majorHAnsi" w:cstheme="majorHAnsi"/>
                <w:lang w:val="pt-PT"/>
              </w:rPr>
              <w:t>competências</w:t>
            </w:r>
            <w:r w:rsidRPr="005B0E41">
              <w:rPr>
                <w:rFonts w:asciiTheme="majorHAnsi" w:hAnsiTheme="majorHAnsi" w:cstheme="majorHAnsi"/>
                <w:lang w:val="pt-PT"/>
              </w:rPr>
              <w:t xml:space="preserve"> de notação e apuramento de dados estat</w:t>
            </w:r>
            <w:r w:rsidRPr="005B0E41">
              <w:rPr>
                <w:rFonts w:asciiTheme="majorHAnsi" w:eastAsia="Cambria" w:hAnsiTheme="majorHAnsi" w:cstheme="majorHAnsi"/>
                <w:lang w:val="pt-PT"/>
              </w:rPr>
              <w:t>í</w:t>
            </w:r>
            <w:r w:rsidRPr="005B0E41">
              <w:rPr>
                <w:rFonts w:asciiTheme="majorHAnsi" w:hAnsiTheme="majorHAnsi" w:cstheme="majorHAnsi"/>
                <w:lang w:val="pt-PT"/>
              </w:rPr>
              <w:t>sticos ao M</w:t>
            </w:r>
            <w:r w:rsidR="005B0E41" w:rsidRPr="005B0E41">
              <w:rPr>
                <w:rFonts w:asciiTheme="majorHAnsi" w:hAnsiTheme="majorHAnsi" w:cstheme="majorHAnsi"/>
                <w:lang w:val="pt-PT"/>
              </w:rPr>
              <w:t xml:space="preserve">inistério das </w:t>
            </w:r>
            <w:r w:rsidRPr="005B0E41">
              <w:rPr>
                <w:rFonts w:asciiTheme="majorHAnsi" w:hAnsiTheme="majorHAnsi" w:cstheme="majorHAnsi"/>
                <w:lang w:val="pt-PT"/>
              </w:rPr>
              <w:t>O</w:t>
            </w:r>
            <w:r w:rsidR="005B0E41" w:rsidRPr="005B0E41">
              <w:rPr>
                <w:rFonts w:asciiTheme="majorHAnsi" w:hAnsiTheme="majorHAnsi" w:cstheme="majorHAnsi"/>
                <w:lang w:val="pt-PT"/>
              </w:rPr>
              <w:t xml:space="preserve">bras </w:t>
            </w:r>
            <w:r w:rsidRPr="005B0E41">
              <w:rPr>
                <w:rFonts w:asciiTheme="majorHAnsi" w:hAnsiTheme="majorHAnsi" w:cstheme="majorHAnsi"/>
                <w:lang w:val="pt-PT"/>
              </w:rPr>
              <w:t>P</w:t>
            </w:r>
            <w:r w:rsidR="005B0E41" w:rsidRPr="005B0E41">
              <w:rPr>
                <w:rFonts w:asciiTheme="majorHAnsi" w:hAnsiTheme="majorHAnsi" w:cstheme="majorHAnsi"/>
                <w:lang w:val="pt-PT"/>
              </w:rPr>
              <w:t xml:space="preserve">úblicas e </w:t>
            </w:r>
            <w:r w:rsidRPr="005B0E41">
              <w:rPr>
                <w:rFonts w:asciiTheme="majorHAnsi" w:hAnsiTheme="majorHAnsi" w:cstheme="majorHAnsi"/>
                <w:lang w:val="pt-PT"/>
              </w:rPr>
              <w:t>H</w:t>
            </w:r>
            <w:r w:rsidR="005B0E41" w:rsidRPr="005B0E41">
              <w:rPr>
                <w:rFonts w:asciiTheme="majorHAnsi" w:hAnsiTheme="majorHAnsi" w:cstheme="majorHAnsi"/>
                <w:lang w:val="pt-PT"/>
              </w:rPr>
              <w:t>abitação</w:t>
            </w:r>
            <w:r w:rsidRPr="005B0E41">
              <w:rPr>
                <w:rFonts w:asciiTheme="majorHAnsi" w:hAnsiTheme="majorHAnsi" w:cstheme="majorHAnsi"/>
                <w:lang w:val="pt-PT"/>
              </w:rPr>
              <w:t>, atrav</w:t>
            </w:r>
            <w:r w:rsidRPr="005B0E41">
              <w:rPr>
                <w:rFonts w:asciiTheme="majorHAnsi" w:eastAsia="Cambria" w:hAnsiTheme="majorHAnsi" w:cstheme="majorHAnsi"/>
                <w:lang w:val="pt-PT"/>
              </w:rPr>
              <w:t>é</w:t>
            </w:r>
            <w:r w:rsidRPr="005B0E41">
              <w:rPr>
                <w:rFonts w:asciiTheme="majorHAnsi" w:hAnsiTheme="majorHAnsi" w:cstheme="majorHAnsi"/>
                <w:lang w:val="pt-PT"/>
              </w:rPr>
              <w:t>s da Direcção de Panificação e Cooperação que tem como atribui</w:t>
            </w:r>
            <w:r w:rsidRPr="005B0E41">
              <w:rPr>
                <w:rFonts w:asciiTheme="majorHAnsi" w:eastAsia="Cambria" w:hAnsiTheme="majorHAnsi" w:cstheme="majorHAnsi"/>
                <w:lang w:val="pt-PT"/>
              </w:rPr>
              <w:t>çõ</w:t>
            </w:r>
            <w:r w:rsidRPr="005B0E41">
              <w:rPr>
                <w:rFonts w:asciiTheme="majorHAnsi" w:hAnsiTheme="majorHAnsi" w:cstheme="majorHAnsi"/>
                <w:lang w:val="pt-PT"/>
              </w:rPr>
              <w:t>es: (i) preparar e coordenar o processo de planificação da área de Agua e Saneamento; (ii) elaborar os planos de médio e longo prazo do sector de águas e monitorar a sua implementação; (iii) monitorar a execução dos planos de investimentos e propor medidas correctivas; e, (iv) fazer avaliação e monitoria das actividades da área</w:t>
            </w:r>
            <w:r w:rsidR="005B0E41">
              <w:rPr>
                <w:rFonts w:asciiTheme="majorHAnsi" w:hAnsiTheme="majorHAnsi" w:cstheme="majorHAnsi"/>
                <w:lang w:val="pt-PT"/>
              </w:rPr>
              <w:t>.</w:t>
            </w:r>
          </w:p>
        </w:tc>
      </w:tr>
    </w:tbl>
    <w:p w:rsidR="003D6B14" w:rsidRPr="00406B24" w:rsidRDefault="003D6B14">
      <w:pPr>
        <w:rPr>
          <w:lang w:val="pt-PT"/>
        </w:rPr>
      </w:pPr>
    </w:p>
    <w:tbl>
      <w:tblPr>
        <w:tblStyle w:val="a3"/>
        <w:tblW w:w="8966" w:type="dxa"/>
        <w:tblLayout w:type="fixed"/>
        <w:tblLook w:val="0400" w:firstRow="0" w:lastRow="0" w:firstColumn="0" w:lastColumn="0" w:noHBand="0" w:noVBand="1"/>
      </w:tblPr>
      <w:tblGrid>
        <w:gridCol w:w="3118"/>
        <w:gridCol w:w="5848"/>
      </w:tblGrid>
      <w:tr w:rsidR="003D6B14">
        <w:trPr>
          <w:trHeight w:val="470"/>
        </w:trPr>
        <w:tc>
          <w:tcPr>
            <w:tcW w:w="8966" w:type="dxa"/>
            <w:gridSpan w:val="2"/>
            <w:tcBorders>
              <w:top w:val="nil"/>
              <w:left w:val="nil"/>
              <w:bottom w:val="nil"/>
              <w:right w:val="nil"/>
            </w:tcBorders>
            <w:shd w:val="clear" w:color="auto" w:fill="auto"/>
            <w:vAlign w:val="bottom"/>
          </w:tcPr>
          <w:p w:rsidR="003D6B14" w:rsidRDefault="002462A6">
            <w:pPr>
              <w:pStyle w:val="Heading2"/>
              <w:rPr>
                <w:rFonts w:ascii="Times New Roman" w:eastAsia="Times New Roman" w:hAnsi="Times New Roman" w:cs="Times New Roman"/>
                <w:sz w:val="32"/>
                <w:szCs w:val="32"/>
              </w:rPr>
            </w:pPr>
            <w:bookmarkStart w:id="6" w:name="_3dy6vkm" w:colFirst="0" w:colLast="0"/>
            <w:bookmarkEnd w:id="6"/>
            <w:r>
              <w:rPr>
                <w:sz w:val="32"/>
                <w:szCs w:val="32"/>
              </w:rPr>
              <w:lastRenderedPageBreak/>
              <w:t>4. Other methodological considerations</w:t>
            </w:r>
          </w:p>
        </w:tc>
      </w:tr>
      <w:tr w:rsidR="003D6B14">
        <w:trPr>
          <w:trHeight w:val="300"/>
        </w:trPr>
        <w:tc>
          <w:tcPr>
            <w:tcW w:w="3118" w:type="dxa"/>
            <w:tcBorders>
              <w:top w:val="nil"/>
              <w:left w:val="nil"/>
              <w:bottom w:val="nil"/>
              <w:right w:val="nil"/>
            </w:tcBorders>
            <w:shd w:val="clear" w:color="auto" w:fill="D9E1F2"/>
            <w:vAlign w:val="bottom"/>
          </w:tcPr>
          <w:p w:rsidR="003D6B14" w:rsidRDefault="002462A6">
            <w:pPr>
              <w:spacing w:after="0" w:line="240" w:lineRule="auto"/>
              <w:rPr>
                <w:color w:val="000000"/>
              </w:rPr>
            </w:pPr>
            <w:r>
              <w:rPr>
                <w:color w:val="000000"/>
              </w:rPr>
              <w:t>Concept name</w:t>
            </w:r>
          </w:p>
        </w:tc>
        <w:tc>
          <w:tcPr>
            <w:tcW w:w="5848" w:type="dxa"/>
            <w:tcBorders>
              <w:top w:val="nil"/>
              <w:left w:val="nil"/>
              <w:bottom w:val="nil"/>
              <w:right w:val="nil"/>
            </w:tcBorders>
            <w:shd w:val="clear" w:color="auto" w:fill="D9E1F2"/>
            <w:vAlign w:val="bottom"/>
          </w:tcPr>
          <w:p w:rsidR="003D6B14" w:rsidRDefault="002462A6">
            <w:pPr>
              <w:spacing w:after="0" w:line="240" w:lineRule="auto"/>
              <w:rPr>
                <w:color w:val="000000"/>
              </w:rPr>
            </w:pPr>
            <w:r>
              <w:rPr>
                <w:i/>
                <w:color w:val="000000"/>
              </w:rPr>
              <w:t>Insert text, lists, tables, and images.</w:t>
            </w:r>
          </w:p>
        </w:tc>
      </w:tr>
      <w:tr w:rsidR="003D6B14">
        <w:tc>
          <w:tcPr>
            <w:tcW w:w="3118" w:type="dxa"/>
            <w:tcBorders>
              <w:top w:val="single" w:sz="4" w:space="0" w:color="000000"/>
              <w:left w:val="nil"/>
              <w:bottom w:val="single" w:sz="4" w:space="0" w:color="000000"/>
              <w:right w:val="single" w:sz="4" w:space="0" w:color="000000"/>
            </w:tcBorders>
            <w:shd w:val="clear" w:color="auto" w:fill="E7E6E6"/>
          </w:tcPr>
          <w:p w:rsidR="003D6B14" w:rsidRDefault="002462A6">
            <w:pPr>
              <w:spacing w:after="0" w:line="240" w:lineRule="auto"/>
              <w:rPr>
                <w:b/>
              </w:rPr>
            </w:pPr>
            <w:r>
              <w:t>4. Other methodological considerations</w:t>
            </w:r>
          </w:p>
        </w:tc>
        <w:tc>
          <w:tcPr>
            <w:tcW w:w="5848" w:type="dxa"/>
            <w:tcBorders>
              <w:top w:val="single" w:sz="4" w:space="0" w:color="000000"/>
              <w:left w:val="nil"/>
              <w:bottom w:val="single" w:sz="4" w:space="0" w:color="000000"/>
              <w:right w:val="single" w:sz="4" w:space="0" w:color="000000"/>
            </w:tcBorders>
            <w:shd w:val="clear" w:color="auto" w:fill="auto"/>
          </w:tcPr>
          <w:p w:rsidR="003D6B14" w:rsidRDefault="003D6B14"/>
        </w:tc>
      </w:tr>
      <w:tr w:rsidR="003D6B14" w:rsidRPr="00406B24">
        <w:tc>
          <w:tcPr>
            <w:tcW w:w="3118" w:type="dxa"/>
            <w:tcBorders>
              <w:top w:val="single" w:sz="4" w:space="0" w:color="000000"/>
              <w:left w:val="nil"/>
              <w:bottom w:val="single" w:sz="4" w:space="0" w:color="000000"/>
              <w:right w:val="single" w:sz="4" w:space="0" w:color="000000"/>
            </w:tcBorders>
            <w:shd w:val="clear" w:color="auto" w:fill="E7E6E6"/>
          </w:tcPr>
          <w:p w:rsidR="003D6B14" w:rsidRDefault="002462A6">
            <w:pPr>
              <w:spacing w:after="0" w:line="240" w:lineRule="auto"/>
              <w:ind w:left="160"/>
              <w:rPr>
                <w:color w:val="000000"/>
              </w:rPr>
            </w:pPr>
            <w:r>
              <w:t>4.a. Rationale</w:t>
            </w:r>
          </w:p>
        </w:tc>
        <w:tc>
          <w:tcPr>
            <w:tcW w:w="5848" w:type="dxa"/>
            <w:tcBorders>
              <w:top w:val="single" w:sz="4" w:space="0" w:color="000000"/>
              <w:left w:val="nil"/>
              <w:bottom w:val="single" w:sz="4" w:space="0" w:color="000000"/>
              <w:right w:val="single" w:sz="4" w:space="0" w:color="000000"/>
            </w:tcBorders>
            <w:shd w:val="clear" w:color="auto" w:fill="auto"/>
          </w:tcPr>
          <w:p w:rsidR="00FE06DE" w:rsidRDefault="00A6420E" w:rsidP="00A6420E">
            <w:pPr>
              <w:spacing w:before="120" w:after="120"/>
              <w:jc w:val="both"/>
              <w:rPr>
                <w:rFonts w:asciiTheme="majorHAnsi" w:hAnsiTheme="majorHAnsi" w:cstheme="majorHAnsi"/>
                <w:lang w:val="pt-PT"/>
              </w:rPr>
            </w:pPr>
            <w:r w:rsidRPr="00FE06DE">
              <w:rPr>
                <w:rFonts w:asciiTheme="majorHAnsi" w:hAnsiTheme="majorHAnsi" w:cstheme="majorHAnsi"/>
                <w:lang w:val="pt-PT"/>
              </w:rPr>
              <w:t>O indicador fornece uma medida directa do progresso da implementação da gestão integrada dos recursos hídricos. A pontuação percentual fornece uma maneira fácil e compreensível de medir o progresso em direção à meta, com '0' interpretado como nenhuma implementação da GIRH e '100' interpretado como GIRH sendo totalmente implementado.</w:t>
            </w:r>
            <w:r w:rsidR="00FE06DE" w:rsidRPr="00FE06DE">
              <w:rPr>
                <w:rFonts w:asciiTheme="majorHAnsi" w:hAnsiTheme="majorHAnsi" w:cstheme="majorHAnsi"/>
                <w:lang w:val="pt-PT"/>
              </w:rPr>
              <w:t xml:space="preserve"> O</w:t>
            </w:r>
            <w:r w:rsidRPr="00FE06DE">
              <w:rPr>
                <w:rFonts w:asciiTheme="majorHAnsi" w:hAnsiTheme="majorHAnsi" w:cstheme="majorHAnsi"/>
                <w:lang w:val="pt-PT"/>
              </w:rPr>
              <w:t xml:space="preserve">s resultados do indicador podem ser classificados de maneira semelhante às perguntas da pesquisa: </w:t>
            </w:r>
          </w:p>
          <w:p w:rsidR="00A6420E" w:rsidRPr="00FE06DE" w:rsidRDefault="00A6420E" w:rsidP="00A6420E">
            <w:pPr>
              <w:spacing w:before="120" w:after="120"/>
              <w:jc w:val="both"/>
              <w:rPr>
                <w:rFonts w:asciiTheme="majorHAnsi" w:hAnsiTheme="majorHAnsi" w:cstheme="majorHAnsi"/>
                <w:lang w:val="pt-PT"/>
              </w:rPr>
            </w:pPr>
            <w:r w:rsidRPr="00FE06DE">
              <w:rPr>
                <w:rFonts w:asciiTheme="majorHAnsi" w:hAnsiTheme="majorHAnsi" w:cstheme="majorHAnsi"/>
                <w:lang w:val="pt-PT"/>
              </w:rPr>
              <w:t>Grau de implementação =</w:t>
            </w:r>
          </w:p>
          <w:p w:rsidR="00A6420E" w:rsidRPr="00FE06DE" w:rsidRDefault="00A6420E" w:rsidP="00A6420E">
            <w:pPr>
              <w:pStyle w:val="ListParagraph"/>
              <w:numPr>
                <w:ilvl w:val="0"/>
                <w:numId w:val="2"/>
              </w:numPr>
              <w:spacing w:after="0"/>
              <w:contextualSpacing w:val="0"/>
              <w:jc w:val="both"/>
              <w:rPr>
                <w:rFonts w:asciiTheme="majorHAnsi" w:hAnsiTheme="majorHAnsi" w:cstheme="majorHAnsi"/>
                <w:lang w:val="pt-PT"/>
              </w:rPr>
            </w:pPr>
            <w:r w:rsidRPr="00FE06DE">
              <w:rPr>
                <w:rFonts w:asciiTheme="majorHAnsi" w:hAnsiTheme="majorHAnsi" w:cstheme="majorHAnsi"/>
                <w:lang w:val="pt-PT"/>
              </w:rPr>
              <w:t>Muito baixo (0-9,9)</w:t>
            </w:r>
          </w:p>
          <w:p w:rsidR="00A6420E" w:rsidRPr="00FE06DE" w:rsidRDefault="00A6420E" w:rsidP="00A6420E">
            <w:pPr>
              <w:pStyle w:val="ListParagraph"/>
              <w:numPr>
                <w:ilvl w:val="0"/>
                <w:numId w:val="2"/>
              </w:numPr>
              <w:spacing w:after="0"/>
              <w:contextualSpacing w:val="0"/>
              <w:jc w:val="both"/>
              <w:rPr>
                <w:rFonts w:asciiTheme="majorHAnsi" w:hAnsiTheme="majorHAnsi" w:cstheme="majorHAnsi"/>
                <w:lang w:val="pt-PT"/>
              </w:rPr>
            </w:pPr>
            <w:r w:rsidRPr="00FE06DE">
              <w:rPr>
                <w:rFonts w:asciiTheme="majorHAnsi" w:hAnsiTheme="majorHAnsi" w:cstheme="majorHAnsi"/>
                <w:lang w:val="pt-PT"/>
              </w:rPr>
              <w:t>Baixo (10-29,9)</w:t>
            </w:r>
          </w:p>
          <w:p w:rsidR="00A6420E" w:rsidRPr="00FE06DE" w:rsidRDefault="00A6420E" w:rsidP="00A6420E">
            <w:pPr>
              <w:pStyle w:val="ListParagraph"/>
              <w:numPr>
                <w:ilvl w:val="0"/>
                <w:numId w:val="2"/>
              </w:numPr>
              <w:spacing w:after="0"/>
              <w:contextualSpacing w:val="0"/>
              <w:jc w:val="both"/>
              <w:rPr>
                <w:rFonts w:asciiTheme="majorHAnsi" w:hAnsiTheme="majorHAnsi" w:cstheme="majorHAnsi"/>
                <w:lang w:val="pt-PT"/>
              </w:rPr>
            </w:pPr>
            <w:r w:rsidRPr="00FE06DE">
              <w:rPr>
                <w:rFonts w:asciiTheme="majorHAnsi" w:hAnsiTheme="majorHAnsi" w:cstheme="majorHAnsi"/>
                <w:lang w:val="pt-PT"/>
              </w:rPr>
              <w:t>Médio-baixo (30-49,9)</w:t>
            </w:r>
          </w:p>
          <w:p w:rsidR="00A6420E" w:rsidRPr="00FE06DE" w:rsidRDefault="00A6420E" w:rsidP="00A6420E">
            <w:pPr>
              <w:pStyle w:val="ListParagraph"/>
              <w:numPr>
                <w:ilvl w:val="0"/>
                <w:numId w:val="2"/>
              </w:numPr>
              <w:spacing w:after="0"/>
              <w:contextualSpacing w:val="0"/>
              <w:jc w:val="both"/>
              <w:rPr>
                <w:rFonts w:asciiTheme="majorHAnsi" w:hAnsiTheme="majorHAnsi" w:cstheme="majorHAnsi"/>
                <w:lang w:val="pt-PT"/>
              </w:rPr>
            </w:pPr>
            <w:r w:rsidRPr="00FE06DE">
              <w:rPr>
                <w:rFonts w:asciiTheme="majorHAnsi" w:hAnsiTheme="majorHAnsi" w:cstheme="majorHAnsi"/>
                <w:lang w:val="pt-PT"/>
              </w:rPr>
              <w:t>Médio-alto (50-69,9)</w:t>
            </w:r>
          </w:p>
          <w:p w:rsidR="00A6420E" w:rsidRPr="00FE06DE" w:rsidRDefault="00A6420E" w:rsidP="00A6420E">
            <w:pPr>
              <w:pStyle w:val="ListParagraph"/>
              <w:numPr>
                <w:ilvl w:val="0"/>
                <w:numId w:val="2"/>
              </w:numPr>
              <w:spacing w:after="0"/>
              <w:contextualSpacing w:val="0"/>
              <w:jc w:val="both"/>
              <w:rPr>
                <w:rFonts w:asciiTheme="majorHAnsi" w:hAnsiTheme="majorHAnsi" w:cstheme="majorHAnsi"/>
                <w:lang w:val="pt-PT"/>
              </w:rPr>
            </w:pPr>
            <w:r w:rsidRPr="00FE06DE">
              <w:rPr>
                <w:rFonts w:asciiTheme="majorHAnsi" w:hAnsiTheme="majorHAnsi" w:cstheme="majorHAnsi"/>
                <w:lang w:val="pt-PT"/>
              </w:rPr>
              <w:t>Alto (70-89,9)</w:t>
            </w:r>
          </w:p>
          <w:p w:rsidR="00A6420E" w:rsidRPr="00FE06DE" w:rsidRDefault="00A6420E" w:rsidP="00FE06DE">
            <w:pPr>
              <w:pStyle w:val="ListParagraph"/>
              <w:numPr>
                <w:ilvl w:val="0"/>
                <w:numId w:val="2"/>
              </w:numPr>
              <w:spacing w:after="0"/>
              <w:contextualSpacing w:val="0"/>
              <w:jc w:val="both"/>
              <w:rPr>
                <w:rFonts w:asciiTheme="majorHAnsi" w:hAnsiTheme="majorHAnsi" w:cstheme="majorHAnsi"/>
                <w:lang w:val="pt-PT"/>
              </w:rPr>
            </w:pPr>
            <w:r w:rsidRPr="00FE06DE">
              <w:rPr>
                <w:rFonts w:asciiTheme="majorHAnsi" w:hAnsiTheme="majorHAnsi" w:cstheme="majorHAnsi"/>
                <w:lang w:val="pt-PT"/>
              </w:rPr>
              <w:t>Muito alto (90-100)</w:t>
            </w:r>
          </w:p>
        </w:tc>
      </w:tr>
      <w:tr w:rsidR="003D6B14" w:rsidRPr="00182DC5">
        <w:tc>
          <w:tcPr>
            <w:tcW w:w="3118" w:type="dxa"/>
            <w:tcBorders>
              <w:top w:val="nil"/>
              <w:left w:val="nil"/>
              <w:bottom w:val="single" w:sz="4" w:space="0" w:color="000000"/>
              <w:right w:val="single" w:sz="4" w:space="0" w:color="000000"/>
            </w:tcBorders>
            <w:shd w:val="clear" w:color="auto" w:fill="E7E6E6"/>
          </w:tcPr>
          <w:p w:rsidR="003D6B14" w:rsidRDefault="002462A6">
            <w:pPr>
              <w:spacing w:after="0" w:line="240" w:lineRule="auto"/>
              <w:ind w:left="160"/>
              <w:rPr>
                <w:color w:val="000000"/>
              </w:rPr>
            </w:pPr>
            <w:r>
              <w:t>4.b. Comment and limitations</w:t>
            </w:r>
          </w:p>
        </w:tc>
        <w:tc>
          <w:tcPr>
            <w:tcW w:w="5848" w:type="dxa"/>
            <w:tcBorders>
              <w:top w:val="nil"/>
              <w:left w:val="nil"/>
              <w:bottom w:val="single" w:sz="4" w:space="0" w:color="000000"/>
              <w:right w:val="single" w:sz="4" w:space="0" w:color="000000"/>
            </w:tcBorders>
            <w:shd w:val="clear" w:color="auto" w:fill="auto"/>
          </w:tcPr>
          <w:p w:rsidR="003D6B14" w:rsidRPr="00D4533C" w:rsidRDefault="002462A6" w:rsidP="00D4533C">
            <w:pPr>
              <w:jc w:val="both"/>
              <w:rPr>
                <w:lang w:val="pt-PT"/>
              </w:rPr>
            </w:pPr>
            <w:r w:rsidRPr="00D4533C">
              <w:rPr>
                <w:lang w:val="pt-PT"/>
              </w:rPr>
              <w:t xml:space="preserve">A consolidação ainda é necessária </w:t>
            </w:r>
            <w:r w:rsidR="009F4A5D" w:rsidRPr="00D4533C">
              <w:rPr>
                <w:lang w:val="pt-PT"/>
              </w:rPr>
              <w:t xml:space="preserve">em </w:t>
            </w:r>
            <w:r w:rsidRPr="00D4533C">
              <w:rPr>
                <w:lang w:val="pt-PT"/>
              </w:rPr>
              <w:t xml:space="preserve">relação </w:t>
            </w:r>
            <w:r w:rsidR="009F4A5D" w:rsidRPr="00D4533C">
              <w:rPr>
                <w:lang w:val="pt-PT"/>
              </w:rPr>
              <w:t>a comitês de bacia relacionados pois a gestão de bacias</w:t>
            </w:r>
            <w:r w:rsidRPr="00D4533C">
              <w:rPr>
                <w:lang w:val="pt-PT"/>
              </w:rPr>
              <w:t xml:space="preserve">/ aquíferos ainda </w:t>
            </w:r>
            <w:r w:rsidR="009750F9" w:rsidRPr="00D4533C">
              <w:rPr>
                <w:lang w:val="pt-PT"/>
              </w:rPr>
              <w:t>está</w:t>
            </w:r>
            <w:r w:rsidR="009F4A5D" w:rsidRPr="00D4533C">
              <w:rPr>
                <w:lang w:val="pt-PT"/>
              </w:rPr>
              <w:t xml:space="preserve"> </w:t>
            </w:r>
            <w:r w:rsidRPr="00D4533C">
              <w:rPr>
                <w:lang w:val="pt-PT"/>
              </w:rPr>
              <w:t>em estágio inicial de implementação</w:t>
            </w:r>
            <w:r w:rsidR="009750F9" w:rsidRPr="00D4533C">
              <w:rPr>
                <w:lang w:val="pt-PT"/>
              </w:rPr>
              <w:t xml:space="preserve"> e operacionalização</w:t>
            </w:r>
            <w:r w:rsidRPr="00D4533C">
              <w:rPr>
                <w:lang w:val="pt-PT"/>
              </w:rPr>
              <w:t>.</w:t>
            </w:r>
          </w:p>
        </w:tc>
      </w:tr>
      <w:tr w:rsidR="003D6B14" w:rsidRPr="00182DC5">
        <w:tc>
          <w:tcPr>
            <w:tcW w:w="3118" w:type="dxa"/>
            <w:tcBorders>
              <w:top w:val="nil"/>
              <w:left w:val="nil"/>
              <w:bottom w:val="single" w:sz="4" w:space="0" w:color="000000"/>
              <w:right w:val="single" w:sz="4" w:space="0" w:color="000000"/>
            </w:tcBorders>
            <w:shd w:val="clear" w:color="auto" w:fill="E7E6E6"/>
          </w:tcPr>
          <w:p w:rsidR="003D6B14" w:rsidRDefault="002462A6">
            <w:pPr>
              <w:spacing w:after="0" w:line="240" w:lineRule="auto"/>
              <w:ind w:left="160"/>
              <w:rPr>
                <w:color w:val="000000"/>
              </w:rPr>
            </w:pPr>
            <w:r>
              <w:t>4.c. Method of computation</w:t>
            </w:r>
          </w:p>
        </w:tc>
        <w:tc>
          <w:tcPr>
            <w:tcW w:w="5848" w:type="dxa"/>
            <w:tcBorders>
              <w:top w:val="nil"/>
              <w:left w:val="nil"/>
              <w:bottom w:val="single" w:sz="4" w:space="0" w:color="000000"/>
              <w:right w:val="single" w:sz="4" w:space="0" w:color="000000"/>
            </w:tcBorders>
            <w:shd w:val="clear" w:color="auto" w:fill="auto"/>
          </w:tcPr>
          <w:p w:rsidR="00B951EB" w:rsidRPr="00B951EB" w:rsidRDefault="00B951EB" w:rsidP="00B951EB">
            <w:pPr>
              <w:spacing w:before="120" w:after="120"/>
              <w:jc w:val="both"/>
              <w:rPr>
                <w:rFonts w:asciiTheme="majorHAnsi" w:hAnsiTheme="majorHAnsi" w:cstheme="majorHAnsi"/>
                <w:lang w:val="pt-PT"/>
              </w:rPr>
            </w:pPr>
            <w:r w:rsidRPr="00B951EB">
              <w:rPr>
                <w:rFonts w:asciiTheme="majorHAnsi" w:hAnsiTheme="majorHAnsi" w:cstheme="majorHAnsi"/>
                <w:lang w:val="pt-PT"/>
              </w:rPr>
              <w:t>O Modelo padrão contém 32 perguntas divididas nas quatro</w:t>
            </w:r>
            <w:r>
              <w:rPr>
                <w:rFonts w:asciiTheme="majorHAnsi" w:hAnsiTheme="majorHAnsi" w:cstheme="majorHAnsi"/>
                <w:lang w:val="pt-PT"/>
              </w:rPr>
              <w:t xml:space="preserve"> principais componentes, nomeadamente: </w:t>
            </w:r>
            <w:r w:rsidRPr="00B951EB">
              <w:rPr>
                <w:rFonts w:asciiTheme="majorHAnsi" w:hAnsiTheme="majorHAnsi" w:cstheme="majorHAnsi"/>
                <w:lang w:val="pt-PT"/>
              </w:rPr>
              <w:t>1. Ambiente favorável; 2. Instituições e participação; 3. Instrumentos de gestão; e, 4. Financiamento.</w:t>
            </w:r>
          </w:p>
          <w:p w:rsidR="00B951EB" w:rsidRPr="00B951EB" w:rsidRDefault="00B951EB" w:rsidP="00B951EB">
            <w:pPr>
              <w:pStyle w:val="ListParagraph"/>
              <w:numPr>
                <w:ilvl w:val="0"/>
                <w:numId w:val="3"/>
              </w:numPr>
              <w:spacing w:before="120" w:after="120"/>
              <w:ind w:left="1080"/>
              <w:contextualSpacing w:val="0"/>
              <w:jc w:val="both"/>
              <w:rPr>
                <w:rFonts w:asciiTheme="majorHAnsi" w:hAnsiTheme="majorHAnsi" w:cstheme="majorHAnsi"/>
                <w:lang w:val="pt-PT"/>
              </w:rPr>
            </w:pPr>
            <w:r w:rsidRPr="00B951EB">
              <w:rPr>
                <w:rFonts w:asciiTheme="majorHAnsi" w:hAnsiTheme="majorHAnsi" w:cstheme="majorHAnsi"/>
                <w:lang w:val="pt-PT"/>
              </w:rPr>
              <w:t>Cada pergunta recebe uma pontuação entre 0 e 100, em intervalos de 10, com base nas 6 principais categorias a seguir:</w:t>
            </w:r>
          </w:p>
          <w:p w:rsidR="00B951EB" w:rsidRPr="00B951EB" w:rsidRDefault="00B951EB" w:rsidP="00B951EB">
            <w:pPr>
              <w:pStyle w:val="ListParagraph"/>
              <w:numPr>
                <w:ilvl w:val="0"/>
                <w:numId w:val="2"/>
              </w:numPr>
              <w:spacing w:after="0"/>
              <w:ind w:left="1440"/>
              <w:contextualSpacing w:val="0"/>
              <w:jc w:val="both"/>
              <w:rPr>
                <w:rFonts w:asciiTheme="majorHAnsi" w:hAnsiTheme="majorHAnsi" w:cstheme="majorHAnsi"/>
                <w:lang w:val="pt-PT"/>
              </w:rPr>
            </w:pPr>
            <w:r w:rsidRPr="00B951EB">
              <w:rPr>
                <w:rFonts w:asciiTheme="majorHAnsi" w:hAnsiTheme="majorHAnsi" w:cstheme="majorHAnsi"/>
                <w:lang w:val="pt-PT"/>
              </w:rPr>
              <w:t>Muito baixo (0)</w:t>
            </w:r>
          </w:p>
          <w:p w:rsidR="00B951EB" w:rsidRPr="00B951EB" w:rsidRDefault="00B951EB" w:rsidP="00B951EB">
            <w:pPr>
              <w:pStyle w:val="ListParagraph"/>
              <w:numPr>
                <w:ilvl w:val="0"/>
                <w:numId w:val="2"/>
              </w:numPr>
              <w:spacing w:after="0"/>
              <w:ind w:left="1440"/>
              <w:contextualSpacing w:val="0"/>
              <w:jc w:val="both"/>
              <w:rPr>
                <w:rFonts w:asciiTheme="majorHAnsi" w:hAnsiTheme="majorHAnsi" w:cstheme="majorHAnsi"/>
                <w:lang w:val="pt-PT"/>
              </w:rPr>
            </w:pPr>
            <w:r w:rsidRPr="00B951EB">
              <w:rPr>
                <w:rFonts w:asciiTheme="majorHAnsi" w:hAnsiTheme="majorHAnsi" w:cstheme="majorHAnsi"/>
                <w:lang w:val="pt-PT"/>
              </w:rPr>
              <w:t>Baixo (20)</w:t>
            </w:r>
          </w:p>
          <w:p w:rsidR="00B951EB" w:rsidRPr="00B951EB" w:rsidRDefault="00B951EB" w:rsidP="00B951EB">
            <w:pPr>
              <w:pStyle w:val="ListParagraph"/>
              <w:numPr>
                <w:ilvl w:val="0"/>
                <w:numId w:val="2"/>
              </w:numPr>
              <w:spacing w:after="0"/>
              <w:ind w:left="1440"/>
              <w:contextualSpacing w:val="0"/>
              <w:jc w:val="both"/>
              <w:rPr>
                <w:rFonts w:asciiTheme="majorHAnsi" w:hAnsiTheme="majorHAnsi" w:cstheme="majorHAnsi"/>
                <w:lang w:val="pt-PT"/>
              </w:rPr>
            </w:pPr>
            <w:r w:rsidRPr="00B951EB">
              <w:rPr>
                <w:rFonts w:asciiTheme="majorHAnsi" w:hAnsiTheme="majorHAnsi" w:cstheme="majorHAnsi"/>
                <w:lang w:val="pt-PT"/>
              </w:rPr>
              <w:t>Médio-baixo (40)</w:t>
            </w:r>
          </w:p>
          <w:p w:rsidR="00B951EB" w:rsidRPr="00B951EB" w:rsidRDefault="00B951EB" w:rsidP="00B951EB">
            <w:pPr>
              <w:pStyle w:val="ListParagraph"/>
              <w:numPr>
                <w:ilvl w:val="0"/>
                <w:numId w:val="2"/>
              </w:numPr>
              <w:spacing w:after="0"/>
              <w:ind w:left="1440"/>
              <w:contextualSpacing w:val="0"/>
              <w:jc w:val="both"/>
              <w:rPr>
                <w:rFonts w:asciiTheme="majorHAnsi" w:hAnsiTheme="majorHAnsi" w:cstheme="majorHAnsi"/>
                <w:lang w:val="pt-PT"/>
              </w:rPr>
            </w:pPr>
            <w:r w:rsidRPr="00B951EB">
              <w:rPr>
                <w:rFonts w:asciiTheme="majorHAnsi" w:hAnsiTheme="majorHAnsi" w:cstheme="majorHAnsi"/>
                <w:lang w:val="pt-PT"/>
              </w:rPr>
              <w:t>Médio-alto (60)</w:t>
            </w:r>
          </w:p>
          <w:p w:rsidR="00B951EB" w:rsidRPr="00B951EB" w:rsidRDefault="00B951EB" w:rsidP="00B951EB">
            <w:pPr>
              <w:pStyle w:val="ListParagraph"/>
              <w:numPr>
                <w:ilvl w:val="0"/>
                <w:numId w:val="2"/>
              </w:numPr>
              <w:spacing w:after="0"/>
              <w:ind w:left="1440"/>
              <w:contextualSpacing w:val="0"/>
              <w:jc w:val="both"/>
              <w:rPr>
                <w:rFonts w:asciiTheme="majorHAnsi" w:hAnsiTheme="majorHAnsi" w:cstheme="majorHAnsi"/>
                <w:lang w:val="pt-PT"/>
              </w:rPr>
            </w:pPr>
            <w:r w:rsidRPr="00B951EB">
              <w:rPr>
                <w:rFonts w:asciiTheme="majorHAnsi" w:hAnsiTheme="majorHAnsi" w:cstheme="majorHAnsi"/>
                <w:lang w:val="pt-PT"/>
              </w:rPr>
              <w:t>Alto (80)</w:t>
            </w:r>
          </w:p>
          <w:p w:rsidR="00B951EB" w:rsidRPr="00B951EB" w:rsidRDefault="00B951EB" w:rsidP="00B951EB">
            <w:pPr>
              <w:pStyle w:val="ListParagraph"/>
              <w:numPr>
                <w:ilvl w:val="0"/>
                <w:numId w:val="2"/>
              </w:numPr>
              <w:spacing w:after="0"/>
              <w:ind w:left="1440"/>
              <w:contextualSpacing w:val="0"/>
              <w:jc w:val="both"/>
              <w:rPr>
                <w:rFonts w:asciiTheme="majorHAnsi" w:hAnsiTheme="majorHAnsi" w:cstheme="majorHAnsi"/>
                <w:lang w:val="pt-PT"/>
              </w:rPr>
            </w:pPr>
            <w:r w:rsidRPr="00B951EB">
              <w:rPr>
                <w:rFonts w:asciiTheme="majorHAnsi" w:hAnsiTheme="majorHAnsi" w:cstheme="majorHAnsi"/>
                <w:lang w:val="pt-PT"/>
              </w:rPr>
              <w:t>Muito alto (100)</w:t>
            </w:r>
          </w:p>
          <w:p w:rsidR="00B951EB" w:rsidRPr="00B951EB" w:rsidRDefault="00B951EB" w:rsidP="00B951EB">
            <w:pPr>
              <w:spacing w:before="120" w:after="120"/>
              <w:ind w:left="360"/>
              <w:jc w:val="both"/>
              <w:rPr>
                <w:rFonts w:asciiTheme="majorHAnsi" w:hAnsiTheme="majorHAnsi" w:cstheme="majorHAnsi"/>
                <w:lang w:val="pt-PT"/>
              </w:rPr>
            </w:pPr>
            <w:r w:rsidRPr="00B951EB">
              <w:rPr>
                <w:rFonts w:asciiTheme="majorHAnsi" w:hAnsiTheme="majorHAnsi" w:cstheme="majorHAnsi"/>
                <w:lang w:val="pt-PT"/>
              </w:rPr>
              <w:t>Observe que são fornecidas orientações para cada limite de cada pergunta, para garantir resultados objectivos e comparáveis.</w:t>
            </w:r>
          </w:p>
          <w:p w:rsidR="00B951EB" w:rsidRPr="00B951EB" w:rsidRDefault="00B951EB" w:rsidP="00B951EB">
            <w:pPr>
              <w:pStyle w:val="ListParagraph"/>
              <w:numPr>
                <w:ilvl w:val="0"/>
                <w:numId w:val="3"/>
              </w:numPr>
              <w:spacing w:before="120" w:after="120"/>
              <w:ind w:left="1080"/>
              <w:contextualSpacing w:val="0"/>
              <w:jc w:val="both"/>
              <w:rPr>
                <w:rFonts w:asciiTheme="majorHAnsi" w:hAnsiTheme="majorHAnsi" w:cstheme="majorHAnsi"/>
                <w:lang w:val="pt-PT"/>
              </w:rPr>
            </w:pPr>
            <w:r w:rsidRPr="00B951EB">
              <w:rPr>
                <w:rFonts w:asciiTheme="majorHAnsi" w:hAnsiTheme="majorHAnsi" w:cstheme="majorHAnsi"/>
                <w:lang w:val="pt-PT"/>
              </w:rPr>
              <w:lastRenderedPageBreak/>
              <w:t>A média não ponderada das pontuações da pergunta em cada um dos quatro componentes é calculada para fornecer uma pontuação de 0 a 100 para cada componente.</w:t>
            </w:r>
          </w:p>
          <w:p w:rsidR="003D6B14" w:rsidRPr="00D86DD9" w:rsidRDefault="00B951EB" w:rsidP="00B951EB">
            <w:pPr>
              <w:pStyle w:val="ListParagraph"/>
              <w:numPr>
                <w:ilvl w:val="0"/>
                <w:numId w:val="3"/>
              </w:numPr>
              <w:spacing w:before="120" w:after="120"/>
              <w:ind w:left="1080"/>
              <w:contextualSpacing w:val="0"/>
              <w:jc w:val="both"/>
              <w:rPr>
                <w:rFonts w:asciiTheme="majorHAnsi" w:hAnsiTheme="majorHAnsi" w:cstheme="majorHAnsi"/>
                <w:lang w:val="pt-PT"/>
              </w:rPr>
            </w:pPr>
            <w:r w:rsidRPr="00B951EB">
              <w:rPr>
                <w:rFonts w:asciiTheme="majorHAnsi" w:hAnsiTheme="majorHAnsi" w:cstheme="majorHAnsi"/>
                <w:lang w:val="pt-PT"/>
              </w:rPr>
              <w:t>A pontuação do componente é calculada como média (sem ponderação) para fornecer a pontuação do indicador, expressa como uma percentagem entre 0 e 100.</w:t>
            </w:r>
          </w:p>
        </w:tc>
      </w:tr>
      <w:tr w:rsidR="003D6B14" w:rsidRPr="00182DC5">
        <w:tc>
          <w:tcPr>
            <w:tcW w:w="3118" w:type="dxa"/>
            <w:tcBorders>
              <w:top w:val="nil"/>
              <w:left w:val="nil"/>
              <w:bottom w:val="single" w:sz="4" w:space="0" w:color="000000"/>
              <w:right w:val="single" w:sz="4" w:space="0" w:color="000000"/>
            </w:tcBorders>
            <w:shd w:val="clear" w:color="auto" w:fill="E7E6E6"/>
          </w:tcPr>
          <w:p w:rsidR="003D6B14" w:rsidRDefault="002462A6">
            <w:pPr>
              <w:spacing w:after="0" w:line="240" w:lineRule="auto"/>
              <w:ind w:left="160"/>
              <w:rPr>
                <w:color w:val="000000"/>
              </w:rPr>
            </w:pPr>
            <w:r>
              <w:lastRenderedPageBreak/>
              <w:t>4.d. Validation</w:t>
            </w:r>
          </w:p>
        </w:tc>
        <w:tc>
          <w:tcPr>
            <w:tcW w:w="5848" w:type="dxa"/>
            <w:tcBorders>
              <w:top w:val="nil"/>
              <w:left w:val="nil"/>
              <w:bottom w:val="single" w:sz="4" w:space="0" w:color="000000"/>
              <w:right w:val="single" w:sz="4" w:space="0" w:color="000000"/>
            </w:tcBorders>
            <w:shd w:val="clear" w:color="auto" w:fill="auto"/>
          </w:tcPr>
          <w:p w:rsidR="003D6B14" w:rsidRPr="00406B24" w:rsidRDefault="002462A6">
            <w:pPr>
              <w:rPr>
                <w:lang w:val="pt-PT"/>
              </w:rPr>
            </w:pPr>
            <w:r w:rsidRPr="00406B24">
              <w:rPr>
                <w:lang w:val="pt-PT"/>
              </w:rPr>
              <w:t>A monitoria dos resultados da compili</w:t>
            </w:r>
            <w:r w:rsidRPr="00406B24">
              <w:rPr>
                <w:rFonts w:ascii="Cambria" w:eastAsia="Cambria" w:hAnsi="Cambria" w:cs="Cambria"/>
                <w:lang w:val="pt-PT"/>
              </w:rPr>
              <w:t>çã</w:t>
            </w:r>
            <w:r w:rsidRPr="00406B24">
              <w:rPr>
                <w:lang w:val="pt-PT"/>
              </w:rPr>
              <w:t xml:space="preserve">o dos dados </w:t>
            </w:r>
            <w:r w:rsidRPr="00406B24">
              <w:rPr>
                <w:rFonts w:ascii="Cambria" w:eastAsia="Cambria" w:hAnsi="Cambria" w:cs="Cambria"/>
                <w:lang w:val="pt-PT"/>
              </w:rPr>
              <w:t>é</w:t>
            </w:r>
            <w:r w:rsidRPr="00406B24">
              <w:rPr>
                <w:lang w:val="pt-PT"/>
              </w:rPr>
              <w:t xml:space="preserve"> feita pelos t</w:t>
            </w:r>
            <w:r w:rsidRPr="00406B24">
              <w:rPr>
                <w:rFonts w:ascii="Cambria" w:eastAsia="Cambria" w:hAnsi="Cambria" w:cs="Cambria"/>
                <w:lang w:val="pt-PT"/>
              </w:rPr>
              <w:t>é</w:t>
            </w:r>
            <w:r w:rsidRPr="00406B24">
              <w:rPr>
                <w:lang w:val="pt-PT"/>
              </w:rPr>
              <w:t>cnicos do Minist</w:t>
            </w:r>
            <w:r w:rsidRPr="00406B24">
              <w:rPr>
                <w:rFonts w:ascii="Cambria" w:eastAsia="Cambria" w:hAnsi="Cambria" w:cs="Cambria"/>
                <w:lang w:val="pt-PT"/>
              </w:rPr>
              <w:t>é</w:t>
            </w:r>
            <w:r w:rsidRPr="00406B24">
              <w:rPr>
                <w:lang w:val="pt-PT"/>
              </w:rPr>
              <w:t>rio das Obras P</w:t>
            </w:r>
            <w:r w:rsidRPr="00406B24">
              <w:rPr>
                <w:rFonts w:ascii="Cambria" w:eastAsia="Cambria" w:hAnsi="Cambria" w:cs="Cambria"/>
                <w:lang w:val="pt-PT"/>
              </w:rPr>
              <w:t>ú</w:t>
            </w:r>
            <w:r w:rsidRPr="00406B24">
              <w:rPr>
                <w:lang w:val="pt-PT"/>
              </w:rPr>
              <w:t>blicas, Habita</w:t>
            </w:r>
            <w:r w:rsidRPr="00406B24">
              <w:rPr>
                <w:rFonts w:ascii="Cambria" w:eastAsia="Cambria" w:hAnsi="Cambria" w:cs="Cambria"/>
                <w:lang w:val="pt-PT"/>
              </w:rPr>
              <w:t>çã</w:t>
            </w:r>
            <w:r w:rsidRPr="00406B24">
              <w:rPr>
                <w:lang w:val="pt-PT"/>
              </w:rPr>
              <w:t>o e Recursos H</w:t>
            </w:r>
            <w:r w:rsidRPr="00406B24">
              <w:rPr>
                <w:rFonts w:ascii="Cambria" w:eastAsia="Cambria" w:hAnsi="Cambria" w:cs="Cambria"/>
                <w:lang w:val="pt-PT"/>
              </w:rPr>
              <w:t>í</w:t>
            </w:r>
            <w:r w:rsidRPr="00406B24">
              <w:rPr>
                <w:lang w:val="pt-PT"/>
              </w:rPr>
              <w:t>dricos</w:t>
            </w:r>
          </w:p>
        </w:tc>
      </w:tr>
      <w:tr w:rsidR="003D6B14">
        <w:tc>
          <w:tcPr>
            <w:tcW w:w="3118" w:type="dxa"/>
            <w:tcBorders>
              <w:top w:val="nil"/>
              <w:left w:val="nil"/>
              <w:bottom w:val="single" w:sz="4" w:space="0" w:color="000000"/>
              <w:right w:val="single" w:sz="4" w:space="0" w:color="000000"/>
            </w:tcBorders>
            <w:shd w:val="clear" w:color="auto" w:fill="E7E6E6"/>
          </w:tcPr>
          <w:p w:rsidR="003D6B14" w:rsidRDefault="002462A6">
            <w:pPr>
              <w:spacing w:after="0" w:line="240" w:lineRule="auto"/>
              <w:ind w:left="160"/>
              <w:rPr>
                <w:color w:val="000000"/>
              </w:rPr>
            </w:pPr>
            <w:r>
              <w:t>4.e. Adjustments</w:t>
            </w:r>
          </w:p>
        </w:tc>
        <w:tc>
          <w:tcPr>
            <w:tcW w:w="5848" w:type="dxa"/>
            <w:tcBorders>
              <w:top w:val="nil"/>
              <w:left w:val="nil"/>
              <w:bottom w:val="single" w:sz="4" w:space="0" w:color="000000"/>
              <w:right w:val="single" w:sz="4" w:space="0" w:color="000000"/>
            </w:tcBorders>
            <w:shd w:val="clear" w:color="auto" w:fill="auto"/>
          </w:tcPr>
          <w:p w:rsidR="003D6B14" w:rsidRDefault="003D6B14"/>
        </w:tc>
      </w:tr>
      <w:tr w:rsidR="003D6B14">
        <w:tc>
          <w:tcPr>
            <w:tcW w:w="3118" w:type="dxa"/>
            <w:tcBorders>
              <w:top w:val="nil"/>
              <w:left w:val="nil"/>
              <w:bottom w:val="single" w:sz="4" w:space="0" w:color="000000"/>
              <w:right w:val="single" w:sz="4" w:space="0" w:color="000000"/>
            </w:tcBorders>
            <w:shd w:val="clear" w:color="auto" w:fill="E7E6E6"/>
          </w:tcPr>
          <w:p w:rsidR="003D6B14" w:rsidRDefault="002462A6">
            <w:pPr>
              <w:spacing w:after="0" w:line="240" w:lineRule="auto"/>
              <w:ind w:left="160"/>
              <w:rPr>
                <w:color w:val="000000"/>
              </w:rPr>
            </w:pPr>
            <w:r>
              <w:t>4.f. Treatment of missing values (i) at country level and (ii) at regional level</w:t>
            </w:r>
          </w:p>
        </w:tc>
        <w:tc>
          <w:tcPr>
            <w:tcW w:w="5848" w:type="dxa"/>
            <w:tcBorders>
              <w:top w:val="nil"/>
              <w:left w:val="nil"/>
              <w:bottom w:val="single" w:sz="4" w:space="0" w:color="000000"/>
              <w:right w:val="single" w:sz="4" w:space="0" w:color="000000"/>
            </w:tcBorders>
            <w:shd w:val="clear" w:color="auto" w:fill="auto"/>
          </w:tcPr>
          <w:p w:rsidR="003D6B14" w:rsidRDefault="003D6B14"/>
        </w:tc>
      </w:tr>
      <w:tr w:rsidR="003D6B14">
        <w:tc>
          <w:tcPr>
            <w:tcW w:w="3118" w:type="dxa"/>
            <w:tcBorders>
              <w:top w:val="nil"/>
              <w:left w:val="nil"/>
              <w:bottom w:val="single" w:sz="4" w:space="0" w:color="000000"/>
              <w:right w:val="single" w:sz="4" w:space="0" w:color="000000"/>
            </w:tcBorders>
            <w:shd w:val="clear" w:color="auto" w:fill="E7E6E6"/>
          </w:tcPr>
          <w:p w:rsidR="003D6B14" w:rsidRDefault="002462A6">
            <w:pPr>
              <w:spacing w:after="0" w:line="240" w:lineRule="auto"/>
              <w:ind w:left="160"/>
              <w:rPr>
                <w:color w:val="000000"/>
              </w:rPr>
            </w:pPr>
            <w:r>
              <w:t>4.g. Regional aggregations</w:t>
            </w:r>
          </w:p>
        </w:tc>
        <w:tc>
          <w:tcPr>
            <w:tcW w:w="5848" w:type="dxa"/>
            <w:tcBorders>
              <w:top w:val="nil"/>
              <w:left w:val="nil"/>
              <w:bottom w:val="single" w:sz="4" w:space="0" w:color="000000"/>
              <w:right w:val="single" w:sz="4" w:space="0" w:color="000000"/>
            </w:tcBorders>
            <w:shd w:val="clear" w:color="auto" w:fill="auto"/>
          </w:tcPr>
          <w:p w:rsidR="003D6B14" w:rsidRDefault="003D6B14"/>
        </w:tc>
      </w:tr>
      <w:tr w:rsidR="003D6B14" w:rsidRPr="00406B24">
        <w:tc>
          <w:tcPr>
            <w:tcW w:w="3118" w:type="dxa"/>
            <w:tcBorders>
              <w:top w:val="nil"/>
              <w:left w:val="nil"/>
              <w:bottom w:val="single" w:sz="4" w:space="0" w:color="000000"/>
              <w:right w:val="single" w:sz="4" w:space="0" w:color="000000"/>
            </w:tcBorders>
            <w:shd w:val="clear" w:color="auto" w:fill="E7E6E6"/>
          </w:tcPr>
          <w:p w:rsidR="003D6B14" w:rsidRDefault="002462A6">
            <w:pPr>
              <w:spacing w:after="0" w:line="240" w:lineRule="auto"/>
              <w:ind w:left="160"/>
              <w:rPr>
                <w:color w:val="000000"/>
              </w:rPr>
            </w:pPr>
            <w:r>
              <w:t>4.h. Methods and guidance available to countries for the compilation of the data at the national level</w:t>
            </w:r>
          </w:p>
        </w:tc>
        <w:tc>
          <w:tcPr>
            <w:tcW w:w="5848" w:type="dxa"/>
            <w:tcBorders>
              <w:top w:val="nil"/>
              <w:left w:val="nil"/>
              <w:bottom w:val="single" w:sz="4" w:space="0" w:color="000000"/>
              <w:right w:val="single" w:sz="4" w:space="0" w:color="000000"/>
            </w:tcBorders>
            <w:shd w:val="clear" w:color="auto" w:fill="auto"/>
          </w:tcPr>
          <w:p w:rsidR="003D6B14" w:rsidRPr="00182DC5" w:rsidRDefault="003D6B14"/>
        </w:tc>
      </w:tr>
      <w:tr w:rsidR="003D6B14" w:rsidRPr="00182DC5">
        <w:tc>
          <w:tcPr>
            <w:tcW w:w="3118" w:type="dxa"/>
            <w:tcBorders>
              <w:top w:val="nil"/>
              <w:left w:val="nil"/>
              <w:bottom w:val="single" w:sz="4" w:space="0" w:color="000000"/>
              <w:right w:val="single" w:sz="4" w:space="0" w:color="000000"/>
            </w:tcBorders>
            <w:shd w:val="clear" w:color="auto" w:fill="E7E6E6"/>
          </w:tcPr>
          <w:p w:rsidR="003D6B14" w:rsidRDefault="002462A6">
            <w:pPr>
              <w:spacing w:after="0" w:line="240" w:lineRule="auto"/>
              <w:ind w:left="160"/>
              <w:rPr>
                <w:color w:val="000000"/>
              </w:rPr>
            </w:pPr>
            <w:r>
              <w:t>4.i. Quality management</w:t>
            </w:r>
          </w:p>
        </w:tc>
        <w:tc>
          <w:tcPr>
            <w:tcW w:w="5848" w:type="dxa"/>
            <w:tcBorders>
              <w:top w:val="nil"/>
              <w:left w:val="nil"/>
              <w:bottom w:val="single" w:sz="4" w:space="0" w:color="000000"/>
              <w:right w:val="single" w:sz="4" w:space="0" w:color="000000"/>
            </w:tcBorders>
            <w:shd w:val="clear" w:color="auto" w:fill="auto"/>
          </w:tcPr>
          <w:p w:rsidR="003D6B14" w:rsidRPr="00406B24" w:rsidRDefault="00A363B6">
            <w:pPr>
              <w:rPr>
                <w:lang w:val="pt-PT"/>
              </w:rPr>
            </w:pPr>
            <w:r w:rsidRPr="00514E0C">
              <w:rPr>
                <w:lang w:val="pt-PT"/>
              </w:rPr>
              <w:t>Em processo de criação do Sistema de Ges</w:t>
            </w:r>
            <w:r>
              <w:rPr>
                <w:lang w:val="pt-PT"/>
              </w:rPr>
              <w:t>tão de Qualidade a nível do Sistema Estatístico Nacional.</w:t>
            </w:r>
          </w:p>
        </w:tc>
      </w:tr>
      <w:tr w:rsidR="003D6B14" w:rsidRPr="00182DC5">
        <w:tc>
          <w:tcPr>
            <w:tcW w:w="3118" w:type="dxa"/>
            <w:tcBorders>
              <w:top w:val="nil"/>
              <w:left w:val="nil"/>
              <w:bottom w:val="single" w:sz="4" w:space="0" w:color="000000"/>
              <w:right w:val="single" w:sz="4" w:space="0" w:color="000000"/>
            </w:tcBorders>
            <w:shd w:val="clear" w:color="auto" w:fill="E7E6E6"/>
          </w:tcPr>
          <w:p w:rsidR="003D6B14" w:rsidRDefault="002462A6">
            <w:pPr>
              <w:spacing w:after="0" w:line="240" w:lineRule="auto"/>
              <w:ind w:left="160"/>
              <w:rPr>
                <w:color w:val="000000"/>
              </w:rPr>
            </w:pPr>
            <w:r>
              <w:t>4.j. Quality assurance</w:t>
            </w:r>
          </w:p>
        </w:tc>
        <w:tc>
          <w:tcPr>
            <w:tcW w:w="5848" w:type="dxa"/>
            <w:tcBorders>
              <w:top w:val="nil"/>
              <w:left w:val="nil"/>
              <w:bottom w:val="single" w:sz="4" w:space="0" w:color="000000"/>
              <w:right w:val="single" w:sz="4" w:space="0" w:color="000000"/>
            </w:tcBorders>
            <w:shd w:val="clear" w:color="auto" w:fill="auto"/>
          </w:tcPr>
          <w:p w:rsidR="003D6B14" w:rsidRPr="00406B24" w:rsidRDefault="00020B26" w:rsidP="00216BEF">
            <w:pPr>
              <w:rPr>
                <w:lang w:val="pt-PT"/>
              </w:rPr>
            </w:pPr>
            <w:bookmarkStart w:id="7" w:name="_1t3h5sf" w:colFirst="0" w:colLast="0"/>
            <w:bookmarkEnd w:id="7"/>
            <w:r>
              <w:rPr>
                <w:lang w:val="pt-PT"/>
              </w:rPr>
              <w:t xml:space="preserve">Realização de encontros com os principais intervenientes no processo de </w:t>
            </w:r>
            <w:r w:rsidRPr="00406B24">
              <w:rPr>
                <w:lang w:val="pt-PT"/>
              </w:rPr>
              <w:t>gestão integrada de recursos hídricos</w:t>
            </w:r>
            <w:r w:rsidR="00715F7D">
              <w:rPr>
                <w:lang w:val="pt-PT"/>
              </w:rPr>
              <w:t xml:space="preserve"> para a recolha </w:t>
            </w:r>
            <w:r w:rsidR="00216BEF">
              <w:rPr>
                <w:lang w:val="pt-PT"/>
              </w:rPr>
              <w:t xml:space="preserve">de dados </w:t>
            </w:r>
            <w:r w:rsidR="00715F7D">
              <w:rPr>
                <w:lang w:val="pt-PT"/>
              </w:rPr>
              <w:t>e análise da</w:t>
            </w:r>
            <w:r w:rsidR="00216BEF">
              <w:rPr>
                <w:lang w:val="pt-PT"/>
              </w:rPr>
              <w:t xml:space="preserve"> sua</w:t>
            </w:r>
            <w:r w:rsidR="00715F7D">
              <w:rPr>
                <w:lang w:val="pt-PT"/>
              </w:rPr>
              <w:t xml:space="preserve"> consistência</w:t>
            </w:r>
            <w:r>
              <w:rPr>
                <w:lang w:val="pt-PT"/>
              </w:rPr>
              <w:t>.</w:t>
            </w:r>
          </w:p>
        </w:tc>
      </w:tr>
      <w:tr w:rsidR="003D6B14" w:rsidRPr="00182DC5">
        <w:tc>
          <w:tcPr>
            <w:tcW w:w="3118" w:type="dxa"/>
            <w:tcBorders>
              <w:top w:val="nil"/>
              <w:left w:val="nil"/>
              <w:bottom w:val="single" w:sz="4" w:space="0" w:color="000000"/>
              <w:right w:val="single" w:sz="4" w:space="0" w:color="000000"/>
            </w:tcBorders>
            <w:shd w:val="clear" w:color="auto" w:fill="E7E6E6"/>
          </w:tcPr>
          <w:p w:rsidR="003D6B14" w:rsidRDefault="002462A6">
            <w:pPr>
              <w:spacing w:after="0" w:line="240" w:lineRule="auto"/>
              <w:ind w:left="160"/>
              <w:rPr>
                <w:color w:val="000000"/>
              </w:rPr>
            </w:pPr>
            <w:r>
              <w:t>4.k. Quality assessment</w:t>
            </w:r>
          </w:p>
        </w:tc>
        <w:tc>
          <w:tcPr>
            <w:tcW w:w="5848" w:type="dxa"/>
            <w:tcBorders>
              <w:top w:val="nil"/>
              <w:left w:val="nil"/>
              <w:bottom w:val="single" w:sz="4" w:space="0" w:color="000000"/>
              <w:right w:val="single" w:sz="4" w:space="0" w:color="000000"/>
            </w:tcBorders>
            <w:shd w:val="clear" w:color="auto" w:fill="auto"/>
          </w:tcPr>
          <w:p w:rsidR="003D6B14" w:rsidRPr="00A363B6" w:rsidRDefault="00A363B6">
            <w:pPr>
              <w:rPr>
                <w:lang w:val="pt-PT"/>
              </w:rPr>
            </w:pPr>
            <w:r>
              <w:rPr>
                <w:lang w:val="pt-PT"/>
              </w:rPr>
              <w:t>Os instrumentos para a avaliação da qualidade dos processos e produtos estatísticos a nível do Sis</w:t>
            </w:r>
            <w:r w:rsidR="0035111A">
              <w:rPr>
                <w:lang w:val="pt-PT"/>
              </w:rPr>
              <w:t>tema Estatístico Nacional ainda</w:t>
            </w:r>
            <w:r>
              <w:rPr>
                <w:lang w:val="pt-PT"/>
              </w:rPr>
              <w:t xml:space="preserve"> estão a ser desenvolvidos com base nos 19 princípios de qualidade estabelecidos pela Comissão de Estatística das Nações Unidas.</w:t>
            </w:r>
          </w:p>
        </w:tc>
      </w:tr>
    </w:tbl>
    <w:p w:rsidR="003D6B14" w:rsidRPr="00A363B6" w:rsidRDefault="003D6B14">
      <w:pPr>
        <w:rPr>
          <w:lang w:val="pt-PT"/>
        </w:rPr>
      </w:pPr>
    </w:p>
    <w:tbl>
      <w:tblPr>
        <w:tblStyle w:val="a4"/>
        <w:tblW w:w="9043" w:type="dxa"/>
        <w:tblLayout w:type="fixed"/>
        <w:tblLook w:val="0400" w:firstRow="0" w:lastRow="0" w:firstColumn="0" w:lastColumn="0" w:noHBand="0" w:noVBand="1"/>
      </w:tblPr>
      <w:tblGrid>
        <w:gridCol w:w="3019"/>
        <w:gridCol w:w="6024"/>
      </w:tblGrid>
      <w:tr w:rsidR="003D6B14">
        <w:trPr>
          <w:trHeight w:val="470"/>
        </w:trPr>
        <w:tc>
          <w:tcPr>
            <w:tcW w:w="9043" w:type="dxa"/>
            <w:gridSpan w:val="2"/>
            <w:tcBorders>
              <w:top w:val="nil"/>
              <w:left w:val="nil"/>
              <w:bottom w:val="nil"/>
              <w:right w:val="nil"/>
            </w:tcBorders>
            <w:shd w:val="clear" w:color="auto" w:fill="auto"/>
            <w:vAlign w:val="bottom"/>
          </w:tcPr>
          <w:p w:rsidR="003D6B14" w:rsidRDefault="002462A6">
            <w:pPr>
              <w:pStyle w:val="Heading2"/>
              <w:rPr>
                <w:rFonts w:ascii="Times New Roman" w:eastAsia="Times New Roman" w:hAnsi="Times New Roman" w:cs="Times New Roman"/>
                <w:sz w:val="32"/>
                <w:szCs w:val="32"/>
              </w:rPr>
            </w:pPr>
            <w:bookmarkStart w:id="8" w:name="_4d34og8" w:colFirst="0" w:colLast="0"/>
            <w:bookmarkEnd w:id="8"/>
            <w:r>
              <w:rPr>
                <w:sz w:val="32"/>
                <w:szCs w:val="32"/>
              </w:rPr>
              <w:t>5. Data availability and disaggregation</w:t>
            </w:r>
          </w:p>
        </w:tc>
      </w:tr>
      <w:tr w:rsidR="003D6B14">
        <w:trPr>
          <w:trHeight w:val="300"/>
        </w:trPr>
        <w:tc>
          <w:tcPr>
            <w:tcW w:w="3019" w:type="dxa"/>
            <w:tcBorders>
              <w:top w:val="nil"/>
              <w:left w:val="nil"/>
              <w:bottom w:val="nil"/>
              <w:right w:val="nil"/>
            </w:tcBorders>
            <w:shd w:val="clear" w:color="auto" w:fill="D9E1F2"/>
            <w:vAlign w:val="bottom"/>
          </w:tcPr>
          <w:p w:rsidR="003D6B14" w:rsidRDefault="002462A6">
            <w:pPr>
              <w:spacing w:after="0" w:line="240" w:lineRule="auto"/>
              <w:rPr>
                <w:color w:val="000000"/>
              </w:rPr>
            </w:pPr>
            <w:r>
              <w:rPr>
                <w:color w:val="000000"/>
              </w:rPr>
              <w:t>Concept name</w:t>
            </w:r>
          </w:p>
        </w:tc>
        <w:tc>
          <w:tcPr>
            <w:tcW w:w="6024" w:type="dxa"/>
            <w:tcBorders>
              <w:top w:val="nil"/>
              <w:left w:val="nil"/>
              <w:bottom w:val="single" w:sz="4" w:space="0" w:color="000000"/>
              <w:right w:val="nil"/>
            </w:tcBorders>
            <w:shd w:val="clear" w:color="auto" w:fill="D9E1F2"/>
            <w:vAlign w:val="bottom"/>
          </w:tcPr>
          <w:p w:rsidR="003D6B14" w:rsidRDefault="002462A6">
            <w:pPr>
              <w:spacing w:after="0" w:line="240" w:lineRule="auto"/>
              <w:ind w:right="-3475"/>
              <w:rPr>
                <w:color w:val="000000"/>
              </w:rPr>
            </w:pPr>
            <w:r>
              <w:rPr>
                <w:i/>
                <w:color w:val="000000"/>
              </w:rPr>
              <w:t>Insert text, lists, tables, and images.</w:t>
            </w:r>
          </w:p>
        </w:tc>
      </w:tr>
      <w:tr w:rsidR="003D6B14" w:rsidRPr="00182DC5">
        <w:trPr>
          <w:trHeight w:val="575"/>
        </w:trPr>
        <w:tc>
          <w:tcPr>
            <w:tcW w:w="3019" w:type="dxa"/>
            <w:tcBorders>
              <w:top w:val="single" w:sz="4" w:space="0" w:color="000000"/>
              <w:left w:val="nil"/>
              <w:bottom w:val="single" w:sz="4" w:space="0" w:color="000000"/>
              <w:right w:val="single" w:sz="4" w:space="0" w:color="000000"/>
            </w:tcBorders>
            <w:shd w:val="clear" w:color="auto" w:fill="E7E6E6"/>
          </w:tcPr>
          <w:p w:rsidR="003D6B14" w:rsidRDefault="002462A6">
            <w:pPr>
              <w:spacing w:after="0" w:line="240" w:lineRule="auto"/>
              <w:rPr>
                <w:color w:val="000000"/>
              </w:rPr>
            </w:pPr>
            <w:r>
              <w:t>5. Data availability and disaggregation</w:t>
            </w:r>
          </w:p>
        </w:tc>
        <w:tc>
          <w:tcPr>
            <w:tcW w:w="6024" w:type="dxa"/>
            <w:tcBorders>
              <w:top w:val="single" w:sz="4" w:space="0" w:color="000000"/>
              <w:left w:val="nil"/>
              <w:bottom w:val="single" w:sz="4" w:space="0" w:color="000000"/>
              <w:right w:val="single" w:sz="4" w:space="0" w:color="000000"/>
            </w:tcBorders>
            <w:shd w:val="clear" w:color="auto" w:fill="auto"/>
          </w:tcPr>
          <w:p w:rsidR="003D6B14" w:rsidRPr="00406B24" w:rsidRDefault="00467C36" w:rsidP="002440DA">
            <w:pPr>
              <w:jc w:val="both"/>
              <w:rPr>
                <w:lang w:val="pt-PT"/>
              </w:rPr>
            </w:pPr>
            <w:r w:rsidRPr="008C4649">
              <w:rPr>
                <w:lang w:val="pt-PT"/>
              </w:rPr>
              <w:t>Os dados são disponibilizados anualmente e não possuem desagregação</w:t>
            </w:r>
            <w:r>
              <w:rPr>
                <w:lang w:val="pt-PT"/>
              </w:rPr>
              <w:t>.</w:t>
            </w:r>
          </w:p>
        </w:tc>
      </w:tr>
    </w:tbl>
    <w:p w:rsidR="003D6B14" w:rsidRPr="00406B24" w:rsidRDefault="003D6B14">
      <w:pPr>
        <w:rPr>
          <w:lang w:val="pt-PT"/>
        </w:rPr>
      </w:pPr>
    </w:p>
    <w:tbl>
      <w:tblPr>
        <w:tblStyle w:val="a5"/>
        <w:tblW w:w="9043" w:type="dxa"/>
        <w:tblLayout w:type="fixed"/>
        <w:tblLook w:val="0400" w:firstRow="0" w:lastRow="0" w:firstColumn="0" w:lastColumn="0" w:noHBand="0" w:noVBand="1"/>
      </w:tblPr>
      <w:tblGrid>
        <w:gridCol w:w="3019"/>
        <w:gridCol w:w="6024"/>
      </w:tblGrid>
      <w:tr w:rsidR="003D6B14">
        <w:trPr>
          <w:trHeight w:val="290"/>
        </w:trPr>
        <w:tc>
          <w:tcPr>
            <w:tcW w:w="9043" w:type="dxa"/>
            <w:gridSpan w:val="2"/>
            <w:tcBorders>
              <w:top w:val="nil"/>
              <w:left w:val="nil"/>
              <w:bottom w:val="nil"/>
              <w:right w:val="nil"/>
            </w:tcBorders>
            <w:shd w:val="clear" w:color="auto" w:fill="auto"/>
            <w:vAlign w:val="bottom"/>
          </w:tcPr>
          <w:p w:rsidR="003D6B14" w:rsidRDefault="002462A6">
            <w:pPr>
              <w:pStyle w:val="Heading2"/>
              <w:rPr>
                <w:sz w:val="32"/>
                <w:szCs w:val="32"/>
              </w:rPr>
            </w:pPr>
            <w:r>
              <w:rPr>
                <w:sz w:val="32"/>
                <w:szCs w:val="32"/>
              </w:rPr>
              <w:lastRenderedPageBreak/>
              <w:t>6. Comparability/deviation from international standards</w:t>
            </w:r>
          </w:p>
        </w:tc>
      </w:tr>
      <w:tr w:rsidR="003D6B14">
        <w:trPr>
          <w:trHeight w:val="300"/>
        </w:trPr>
        <w:tc>
          <w:tcPr>
            <w:tcW w:w="3019" w:type="dxa"/>
            <w:tcBorders>
              <w:top w:val="nil"/>
              <w:left w:val="nil"/>
              <w:bottom w:val="nil"/>
              <w:right w:val="nil"/>
            </w:tcBorders>
            <w:shd w:val="clear" w:color="auto" w:fill="D9E1F2"/>
            <w:vAlign w:val="bottom"/>
          </w:tcPr>
          <w:p w:rsidR="003D6B14" w:rsidRDefault="002462A6">
            <w:pPr>
              <w:spacing w:after="0" w:line="240" w:lineRule="auto"/>
              <w:rPr>
                <w:color w:val="000000"/>
              </w:rPr>
            </w:pPr>
            <w:r>
              <w:rPr>
                <w:color w:val="000000"/>
              </w:rPr>
              <w:t>Concept name</w:t>
            </w:r>
          </w:p>
        </w:tc>
        <w:tc>
          <w:tcPr>
            <w:tcW w:w="6024" w:type="dxa"/>
            <w:tcBorders>
              <w:top w:val="nil"/>
              <w:left w:val="nil"/>
              <w:bottom w:val="single" w:sz="4" w:space="0" w:color="000000"/>
              <w:right w:val="nil"/>
            </w:tcBorders>
            <w:shd w:val="clear" w:color="auto" w:fill="D9E1F2"/>
            <w:vAlign w:val="bottom"/>
          </w:tcPr>
          <w:p w:rsidR="003D6B14" w:rsidRDefault="002462A6">
            <w:pPr>
              <w:spacing w:after="0" w:line="240" w:lineRule="auto"/>
              <w:ind w:right="-3475"/>
              <w:rPr>
                <w:color w:val="000000"/>
              </w:rPr>
            </w:pPr>
            <w:r>
              <w:rPr>
                <w:i/>
                <w:color w:val="000000"/>
              </w:rPr>
              <w:t>Insert text, lists, tables, and images.</w:t>
            </w:r>
          </w:p>
        </w:tc>
      </w:tr>
      <w:tr w:rsidR="003D6B14" w:rsidRPr="00182DC5">
        <w:trPr>
          <w:trHeight w:val="575"/>
        </w:trPr>
        <w:tc>
          <w:tcPr>
            <w:tcW w:w="3019" w:type="dxa"/>
            <w:tcBorders>
              <w:top w:val="single" w:sz="4" w:space="0" w:color="000000"/>
              <w:left w:val="nil"/>
              <w:bottom w:val="single" w:sz="4" w:space="0" w:color="000000"/>
              <w:right w:val="single" w:sz="4" w:space="0" w:color="000000"/>
            </w:tcBorders>
            <w:shd w:val="clear" w:color="auto" w:fill="E7E6E6"/>
          </w:tcPr>
          <w:p w:rsidR="003D6B14" w:rsidRDefault="002462A6">
            <w:pPr>
              <w:spacing w:after="0" w:line="240" w:lineRule="auto"/>
              <w:rPr>
                <w:color w:val="000000"/>
              </w:rPr>
            </w:pPr>
            <w:r>
              <w:t>6. Comparability/deviation from international standards</w:t>
            </w:r>
          </w:p>
        </w:tc>
        <w:tc>
          <w:tcPr>
            <w:tcW w:w="6024" w:type="dxa"/>
            <w:tcBorders>
              <w:top w:val="single" w:sz="4" w:space="0" w:color="000000"/>
              <w:left w:val="nil"/>
              <w:bottom w:val="single" w:sz="4" w:space="0" w:color="000000"/>
              <w:right w:val="single" w:sz="4" w:space="0" w:color="000000"/>
            </w:tcBorders>
            <w:shd w:val="clear" w:color="auto" w:fill="auto"/>
          </w:tcPr>
          <w:p w:rsidR="003D6B14" w:rsidRPr="00406B24" w:rsidRDefault="00C02EEA" w:rsidP="00C02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lang w:val="pt-PT"/>
              </w:rPr>
            </w:pPr>
            <w:r>
              <w:rPr>
                <w:sz w:val="24"/>
                <w:szCs w:val="24"/>
                <w:lang w:val="pt-PT"/>
              </w:rPr>
              <w:t>É usado a metodologia de cálculo que foi estabelecido internacionalmente</w:t>
            </w:r>
            <w:r w:rsidR="00182DC5">
              <w:rPr>
                <w:sz w:val="24"/>
                <w:szCs w:val="24"/>
                <w:lang w:val="pt-PT"/>
              </w:rPr>
              <w:t xml:space="preserve"> pelo que, acredita-se que os dados são comparáveis</w:t>
            </w:r>
            <w:bookmarkStart w:id="9" w:name="_GoBack"/>
            <w:bookmarkEnd w:id="9"/>
            <w:r>
              <w:rPr>
                <w:sz w:val="24"/>
                <w:szCs w:val="24"/>
                <w:lang w:val="pt-PT"/>
              </w:rPr>
              <w:t>.</w:t>
            </w:r>
          </w:p>
        </w:tc>
      </w:tr>
    </w:tbl>
    <w:p w:rsidR="003D6B14" w:rsidRPr="00406B24" w:rsidRDefault="003D6B14">
      <w:pPr>
        <w:rPr>
          <w:lang w:val="pt-PT"/>
        </w:rPr>
      </w:pPr>
    </w:p>
    <w:tbl>
      <w:tblPr>
        <w:tblStyle w:val="a6"/>
        <w:tblW w:w="9043" w:type="dxa"/>
        <w:tblLayout w:type="fixed"/>
        <w:tblLook w:val="0400" w:firstRow="0" w:lastRow="0" w:firstColumn="0" w:lastColumn="0" w:noHBand="0" w:noVBand="1"/>
      </w:tblPr>
      <w:tblGrid>
        <w:gridCol w:w="3019"/>
        <w:gridCol w:w="6024"/>
      </w:tblGrid>
      <w:tr w:rsidR="003D6B14">
        <w:trPr>
          <w:trHeight w:val="290"/>
        </w:trPr>
        <w:tc>
          <w:tcPr>
            <w:tcW w:w="9043" w:type="dxa"/>
            <w:gridSpan w:val="2"/>
            <w:tcBorders>
              <w:top w:val="nil"/>
              <w:left w:val="nil"/>
              <w:bottom w:val="nil"/>
              <w:right w:val="nil"/>
            </w:tcBorders>
            <w:shd w:val="clear" w:color="auto" w:fill="auto"/>
            <w:vAlign w:val="bottom"/>
          </w:tcPr>
          <w:p w:rsidR="003D6B14" w:rsidRDefault="002462A6">
            <w:pPr>
              <w:pStyle w:val="Heading2"/>
              <w:rPr>
                <w:sz w:val="32"/>
                <w:szCs w:val="32"/>
              </w:rPr>
            </w:pPr>
            <w:r>
              <w:rPr>
                <w:sz w:val="32"/>
                <w:szCs w:val="32"/>
              </w:rPr>
              <w:t>7. References and Documentation</w:t>
            </w:r>
          </w:p>
        </w:tc>
      </w:tr>
      <w:tr w:rsidR="003D6B14">
        <w:trPr>
          <w:trHeight w:val="300"/>
        </w:trPr>
        <w:tc>
          <w:tcPr>
            <w:tcW w:w="3019" w:type="dxa"/>
            <w:tcBorders>
              <w:top w:val="nil"/>
              <w:left w:val="nil"/>
              <w:bottom w:val="nil"/>
              <w:right w:val="nil"/>
            </w:tcBorders>
            <w:shd w:val="clear" w:color="auto" w:fill="D9E1F2"/>
            <w:vAlign w:val="bottom"/>
          </w:tcPr>
          <w:p w:rsidR="003D6B14" w:rsidRDefault="002462A6">
            <w:pPr>
              <w:spacing w:after="0" w:line="240" w:lineRule="auto"/>
              <w:rPr>
                <w:color w:val="000000"/>
              </w:rPr>
            </w:pPr>
            <w:r>
              <w:rPr>
                <w:color w:val="000000"/>
              </w:rPr>
              <w:t>Concept name</w:t>
            </w:r>
          </w:p>
        </w:tc>
        <w:tc>
          <w:tcPr>
            <w:tcW w:w="6024" w:type="dxa"/>
            <w:tcBorders>
              <w:top w:val="nil"/>
              <w:left w:val="nil"/>
              <w:bottom w:val="single" w:sz="4" w:space="0" w:color="000000"/>
              <w:right w:val="nil"/>
            </w:tcBorders>
            <w:shd w:val="clear" w:color="auto" w:fill="D9E1F2"/>
            <w:vAlign w:val="bottom"/>
          </w:tcPr>
          <w:p w:rsidR="003D6B14" w:rsidRDefault="002462A6">
            <w:pPr>
              <w:spacing w:after="0" w:line="240" w:lineRule="auto"/>
              <w:ind w:right="-3475"/>
              <w:rPr>
                <w:color w:val="000000"/>
              </w:rPr>
            </w:pPr>
            <w:r>
              <w:rPr>
                <w:i/>
                <w:color w:val="000000"/>
              </w:rPr>
              <w:t>Insert text, lists, tables, and images.</w:t>
            </w:r>
          </w:p>
        </w:tc>
      </w:tr>
      <w:tr w:rsidR="003D6B14" w:rsidRPr="00182DC5">
        <w:trPr>
          <w:trHeight w:val="575"/>
        </w:trPr>
        <w:tc>
          <w:tcPr>
            <w:tcW w:w="3019" w:type="dxa"/>
            <w:tcBorders>
              <w:top w:val="single" w:sz="4" w:space="0" w:color="000000"/>
              <w:left w:val="nil"/>
              <w:bottom w:val="single" w:sz="4" w:space="0" w:color="000000"/>
              <w:right w:val="single" w:sz="4" w:space="0" w:color="000000"/>
            </w:tcBorders>
            <w:shd w:val="clear" w:color="auto" w:fill="E7E6E6"/>
          </w:tcPr>
          <w:p w:rsidR="003D6B14" w:rsidRDefault="002462A6">
            <w:pPr>
              <w:spacing w:after="0" w:line="240" w:lineRule="auto"/>
              <w:rPr>
                <w:color w:val="000000"/>
              </w:rPr>
            </w:pPr>
            <w:r>
              <w:rPr>
                <w:color w:val="000000"/>
              </w:rPr>
              <w:t>7. References and Documentation</w:t>
            </w:r>
          </w:p>
        </w:tc>
        <w:tc>
          <w:tcPr>
            <w:tcW w:w="6024" w:type="dxa"/>
            <w:tcBorders>
              <w:top w:val="single" w:sz="4" w:space="0" w:color="000000"/>
              <w:left w:val="nil"/>
              <w:bottom w:val="single" w:sz="4" w:space="0" w:color="000000"/>
              <w:right w:val="single" w:sz="4" w:space="0" w:color="000000"/>
            </w:tcBorders>
            <w:shd w:val="clear" w:color="auto" w:fill="auto"/>
          </w:tcPr>
          <w:p w:rsidR="003D6B14" w:rsidRPr="00406B24" w:rsidRDefault="002462A6">
            <w:pPr>
              <w:rPr>
                <w:lang w:val="pt-PT"/>
              </w:rPr>
            </w:pPr>
            <w:r w:rsidRPr="00406B24">
              <w:rPr>
                <w:lang w:val="pt-PT"/>
              </w:rPr>
              <w:t xml:space="preserve">1. </w:t>
            </w:r>
            <w:r w:rsidRPr="00406B24">
              <w:rPr>
                <w:b/>
                <w:lang w:val="pt-PT"/>
              </w:rPr>
              <w:t>Plano Nacional de Recursos Hídricos (PNRH) 2020</w:t>
            </w:r>
            <w:r w:rsidRPr="00406B24">
              <w:rPr>
                <w:lang w:val="pt-PT"/>
              </w:rPr>
              <w:t xml:space="preserve">-2024, </w:t>
            </w:r>
            <w:r w:rsidRPr="00406B24">
              <w:rPr>
                <w:i/>
                <w:lang w:val="pt-PT"/>
              </w:rPr>
              <w:t xml:space="preserve">Resolução Nr 11/2019, de 12 de Março; </w:t>
            </w:r>
            <w:r w:rsidRPr="00406B24">
              <w:rPr>
                <w:lang w:val="pt-PT"/>
              </w:rPr>
              <w:t xml:space="preserve">2. </w:t>
            </w:r>
            <w:r w:rsidRPr="00406B24">
              <w:rPr>
                <w:b/>
                <w:lang w:val="pt-PT"/>
              </w:rPr>
              <w:t>Plano de Acção de Implementação dos Objectivos de Desenvolvimento de Recursos Hídricos</w:t>
            </w:r>
            <w:r w:rsidRPr="00406B24">
              <w:rPr>
                <w:lang w:val="pt-PT"/>
              </w:rPr>
              <w:t xml:space="preserve"> (PA-ODS RH) 2015-2030, </w:t>
            </w:r>
            <w:r w:rsidRPr="00406B24">
              <w:rPr>
                <w:i/>
                <w:lang w:val="pt-PT"/>
              </w:rPr>
              <w:t>Resolução Nr 40/2018, de 24 de Outubro de 2018</w:t>
            </w:r>
            <w:r w:rsidR="00424896">
              <w:rPr>
                <w:i/>
                <w:lang w:val="pt-PT"/>
              </w:rPr>
              <w:t>.</w:t>
            </w:r>
          </w:p>
        </w:tc>
      </w:tr>
    </w:tbl>
    <w:p w:rsidR="003D6B14" w:rsidRPr="00406B24" w:rsidRDefault="003D6B14">
      <w:pPr>
        <w:pStyle w:val="Heading1"/>
        <w:rPr>
          <w:color w:val="1C75BC"/>
          <w:sz w:val="36"/>
          <w:szCs w:val="36"/>
          <w:lang w:val="pt-PT"/>
        </w:rPr>
      </w:pPr>
      <w:bookmarkStart w:id="10" w:name="17dp8vu" w:colFirst="0" w:colLast="0"/>
      <w:bookmarkStart w:id="11" w:name="3rdcrjn" w:colFirst="0" w:colLast="0"/>
      <w:bookmarkStart w:id="12" w:name="_2s8eyo1" w:colFirst="0" w:colLast="0"/>
      <w:bookmarkEnd w:id="10"/>
      <w:bookmarkEnd w:id="11"/>
      <w:bookmarkEnd w:id="12"/>
    </w:p>
    <w:p w:rsidR="003D6B14" w:rsidRDefault="002462A6">
      <w:pPr>
        <w:pStyle w:val="Heading1"/>
        <w:rPr>
          <w:color w:val="1C75BC"/>
          <w:sz w:val="36"/>
          <w:szCs w:val="36"/>
        </w:rPr>
      </w:pPr>
      <w:r>
        <w:rPr>
          <w:color w:val="1C75BC"/>
          <w:sz w:val="36"/>
          <w:szCs w:val="36"/>
        </w:rPr>
        <w:t>Appendices</w:t>
      </w:r>
    </w:p>
    <w:p w:rsidR="003D6B14" w:rsidRDefault="002462A6">
      <w:pPr>
        <w:pBdr>
          <w:top w:val="nil"/>
          <w:left w:val="nil"/>
          <w:bottom w:val="nil"/>
          <w:right w:val="nil"/>
          <w:between w:val="nil"/>
        </w:pBdr>
        <w:shd w:val="clear" w:color="auto" w:fill="F5F5F5"/>
        <w:spacing w:after="0" w:line="276" w:lineRule="auto"/>
        <w:rPr>
          <w:color w:val="1C75BC"/>
          <w:sz w:val="28"/>
          <w:szCs w:val="28"/>
        </w:rPr>
      </w:pPr>
      <w:bookmarkStart w:id="13" w:name="_26in1rg" w:colFirst="0" w:colLast="0"/>
      <w:bookmarkEnd w:id="13"/>
      <w:r>
        <w:rPr>
          <w:color w:val="1C75BC"/>
          <w:sz w:val="28"/>
          <w:szCs w:val="28"/>
        </w:rPr>
        <w:t>A. Definitions of Metadata Concepts</w:t>
      </w:r>
    </w:p>
    <w:p w:rsidR="003D6B14" w:rsidRDefault="002462A6">
      <w:r>
        <w:rPr>
          <w:b/>
          <w:i/>
        </w:rPr>
        <w:t>0.a. Goal</w:t>
      </w:r>
      <w:r>
        <w:t xml:space="preserve">: </w:t>
      </w:r>
      <w:r>
        <w:rPr>
          <w:color w:val="000000"/>
        </w:rPr>
        <w:t>SDG Goal number and name.</w:t>
      </w:r>
    </w:p>
    <w:p w:rsidR="003D6B14" w:rsidRDefault="002462A6">
      <w:r>
        <w:rPr>
          <w:b/>
          <w:i/>
        </w:rPr>
        <w:t xml:space="preserve">0.b. Target: </w:t>
      </w:r>
      <w:r>
        <w:rPr>
          <w:color w:val="000000"/>
        </w:rPr>
        <w:t>SDG Target number and name.</w:t>
      </w:r>
    </w:p>
    <w:p w:rsidR="003D6B14" w:rsidRDefault="002462A6">
      <w:r>
        <w:rPr>
          <w:b/>
          <w:i/>
        </w:rPr>
        <w:t>0.c. Indicator</w:t>
      </w:r>
      <w:r>
        <w:t xml:space="preserve">: </w:t>
      </w:r>
      <w:r>
        <w:rPr>
          <w:color w:val="000000"/>
        </w:rPr>
        <w:t>SDG Indicator number and name.</w:t>
      </w:r>
    </w:p>
    <w:p w:rsidR="003D6B14" w:rsidRDefault="002462A6">
      <w:pPr>
        <w:rPr>
          <w:b/>
          <w:i/>
        </w:rPr>
      </w:pPr>
      <w:r>
        <w:rPr>
          <w:b/>
          <w:i/>
        </w:rPr>
        <w:t>0.d. Series</w:t>
      </w:r>
      <w:r>
        <w:t>: Description of SDG data series.</w:t>
      </w:r>
      <w:r>
        <w:rPr>
          <w:b/>
          <w:i/>
        </w:rPr>
        <w:tab/>
      </w:r>
    </w:p>
    <w:p w:rsidR="003D6B14" w:rsidRDefault="002462A6">
      <w:r>
        <w:rPr>
          <w:b/>
          <w:i/>
        </w:rPr>
        <w:t>0.e. Metadata update</w:t>
      </w:r>
      <w:r>
        <w:t>: The date when this metadata report was last updated.</w:t>
      </w:r>
    </w:p>
    <w:p w:rsidR="003D6B14" w:rsidRDefault="002462A6">
      <w:r>
        <w:rPr>
          <w:b/>
          <w:i/>
        </w:rPr>
        <w:t>0.f. Related indicators</w:t>
      </w:r>
      <w:r>
        <w:t>: Linkages with any other Goals and Targets.</w:t>
      </w:r>
    </w:p>
    <w:p w:rsidR="003D6B14" w:rsidRDefault="002462A6">
      <w:r>
        <w:rPr>
          <w:b/>
          <w:i/>
        </w:rPr>
        <w:t>0.g. International organisations(s) responsible for global monitoring</w:t>
      </w:r>
      <w:r>
        <w:t>: Global reporting: International organizations (departments/offices) responsible for monitoring this indicator at the global level.  Country reporting: This concept has no national counterpart.</w:t>
      </w:r>
      <w:r>
        <w:rPr>
          <w:b/>
          <w:i/>
        </w:rPr>
        <w:tab/>
      </w:r>
    </w:p>
    <w:p w:rsidR="003D6B14" w:rsidRDefault="002462A6">
      <w:r>
        <w:rPr>
          <w:b/>
          <w:i/>
        </w:rPr>
        <w:t>1.a. Organisation</w:t>
      </w:r>
      <w:r>
        <w:t>: Organisation unit information of the contact points for the data or metadata.</w:t>
      </w:r>
    </w:p>
    <w:p w:rsidR="003D6B14" w:rsidRDefault="002462A6">
      <w:pPr>
        <w:rPr>
          <w:b/>
          <w:i/>
        </w:rPr>
      </w:pPr>
      <w:r>
        <w:rPr>
          <w:b/>
          <w:i/>
        </w:rPr>
        <w:t>1.d. Contact person function</w:t>
      </w:r>
      <w:r>
        <w:t>: Functional title(s) of the contact points for the data or metadata.</w:t>
      </w:r>
      <w:r>
        <w:rPr>
          <w:b/>
          <w:i/>
        </w:rPr>
        <w:tab/>
      </w:r>
    </w:p>
    <w:p w:rsidR="003D6B14" w:rsidRDefault="002462A6">
      <w:r>
        <w:rPr>
          <w:b/>
          <w:i/>
        </w:rPr>
        <w:t>1.e. Contact phone</w:t>
      </w:r>
      <w:r>
        <w:t>: Phone number(s) of the contact points for the data or metadata.</w:t>
      </w:r>
    </w:p>
    <w:p w:rsidR="003D6B14" w:rsidRDefault="002462A6">
      <w:pPr>
        <w:pBdr>
          <w:top w:val="nil"/>
          <w:left w:val="nil"/>
          <w:bottom w:val="nil"/>
          <w:right w:val="nil"/>
          <w:between w:val="nil"/>
        </w:pBdr>
        <w:spacing w:after="240" w:line="240" w:lineRule="auto"/>
        <w:rPr>
          <w:color w:val="000000"/>
        </w:rPr>
      </w:pPr>
      <w:r>
        <w:rPr>
          <w:b/>
          <w:i/>
          <w:color w:val="000000"/>
          <w:sz w:val="20"/>
          <w:szCs w:val="20"/>
        </w:rPr>
        <w:t>1.f. Contact mail</w:t>
      </w:r>
      <w:r>
        <w:rPr>
          <w:color w:val="000000"/>
          <w:sz w:val="20"/>
          <w:szCs w:val="20"/>
        </w:rPr>
        <w:t xml:space="preserve">: </w:t>
      </w:r>
      <w:r>
        <w:rPr>
          <w:color w:val="000000"/>
        </w:rPr>
        <w:t>Mailing address(es) of the contact points for the data or metadata.</w:t>
      </w:r>
    </w:p>
    <w:p w:rsidR="003D6B14" w:rsidRDefault="002462A6">
      <w:pPr>
        <w:spacing w:after="240"/>
      </w:pPr>
      <w:r>
        <w:rPr>
          <w:b/>
          <w:i/>
        </w:rPr>
        <w:t>1.g. Contact emails</w:t>
      </w:r>
      <w:r>
        <w:t>: E-mail address(es) of the contact points for the data or metadata.</w:t>
      </w:r>
    </w:p>
    <w:p w:rsidR="003D6B14" w:rsidRDefault="002462A6">
      <w:r>
        <w:rPr>
          <w:b/>
          <w:i/>
        </w:rPr>
        <w:lastRenderedPageBreak/>
        <w:t>2.a. Definition and concepts</w:t>
      </w:r>
      <w:r>
        <w:t>: 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rsidR="003D6B14" w:rsidRDefault="002462A6">
      <w:r>
        <w:rPr>
          <w:b/>
          <w:i/>
        </w:rPr>
        <w:t>2.b. Unit of measure:</w:t>
      </w:r>
      <w:r>
        <w:t xml:space="preserve"> Description of the unit of measurement (proportion, dollars, number of people, etc.)</w:t>
      </w:r>
    </w:p>
    <w:p w:rsidR="003D6B14" w:rsidRDefault="002462A6">
      <w:pPr>
        <w:rPr>
          <w:color w:val="000000"/>
        </w:rPr>
      </w:pPr>
      <w:r>
        <w:rPr>
          <w:b/>
          <w:i/>
        </w:rPr>
        <w:t>2.c. Classifications</w:t>
      </w:r>
      <w:r>
        <w:t xml:space="preserve">: </w:t>
      </w:r>
      <w:r>
        <w:rPr>
          <w:color w:val="000000"/>
        </w:rPr>
        <w:t xml:space="preserve">Describe references to both national and international standards and classification being used. </w:t>
      </w:r>
      <w:r>
        <w:t>[Information to be provided where applicable.]</w:t>
      </w:r>
    </w:p>
    <w:p w:rsidR="003D6B14" w:rsidRDefault="002462A6">
      <w:pPr>
        <w:rPr>
          <w:b/>
          <w:i/>
        </w:rPr>
      </w:pPr>
      <w:r>
        <w:rPr>
          <w:b/>
          <w:i/>
        </w:rPr>
        <w:t>3.a. Data sources</w:t>
      </w:r>
      <w:r>
        <w:t>: 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given for administrative sources.</w:t>
      </w:r>
      <w:r>
        <w:rPr>
          <w:b/>
          <w:i/>
        </w:rPr>
        <w:tab/>
      </w:r>
    </w:p>
    <w:p w:rsidR="003D6B14" w:rsidRDefault="002462A6">
      <w:pPr>
        <w:rPr>
          <w:b/>
          <w:i/>
        </w:rPr>
      </w:pPr>
      <w:r>
        <w:rPr>
          <w:b/>
          <w:i/>
        </w:rPr>
        <w:t>3.b. Data collection method</w:t>
      </w:r>
      <w:r>
        <w:t xml:space="preserve">: 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 </w:t>
      </w:r>
      <w:r>
        <w:rPr>
          <w:b/>
          <w:i/>
        </w:rPr>
        <w:tab/>
      </w:r>
    </w:p>
    <w:p w:rsidR="003D6B14" w:rsidRDefault="002462A6">
      <w:pPr>
        <w:pBdr>
          <w:top w:val="nil"/>
          <w:left w:val="nil"/>
          <w:bottom w:val="nil"/>
          <w:right w:val="nil"/>
          <w:between w:val="nil"/>
        </w:pBdr>
        <w:spacing w:after="240" w:line="240" w:lineRule="auto"/>
        <w:rPr>
          <w:color w:val="000000"/>
        </w:rPr>
      </w:pPr>
      <w:r>
        <w:rPr>
          <w:b/>
          <w:i/>
          <w:color w:val="000000"/>
        </w:rPr>
        <w:t>3.c. Data collection calendar</w:t>
      </w:r>
      <w:r>
        <w:rPr>
          <w:color w:val="000000"/>
          <w:sz w:val="20"/>
          <w:szCs w:val="20"/>
        </w:rPr>
        <w:t xml:space="preserve">:  </w:t>
      </w:r>
      <w:r>
        <w:rPr>
          <w:color w:val="000000"/>
        </w:rPr>
        <w:t>Dates when source collection is next planned.</w:t>
      </w:r>
    </w:p>
    <w:p w:rsidR="003D6B14" w:rsidRDefault="002462A6">
      <w:pPr>
        <w:pBdr>
          <w:top w:val="nil"/>
          <w:left w:val="nil"/>
          <w:bottom w:val="nil"/>
          <w:right w:val="nil"/>
          <w:between w:val="nil"/>
        </w:pBdr>
        <w:spacing w:after="240" w:line="240" w:lineRule="auto"/>
        <w:rPr>
          <w:color w:val="000000"/>
        </w:rPr>
      </w:pPr>
      <w:r>
        <w:rPr>
          <w:b/>
          <w:i/>
          <w:color w:val="000000"/>
        </w:rPr>
        <w:t>3.d. Data release calendar</w:t>
      </w:r>
      <w:r>
        <w:rPr>
          <w:color w:val="000000"/>
        </w:rPr>
        <w:t>:</w:t>
      </w:r>
      <w:r>
        <w:rPr>
          <w:color w:val="000000"/>
          <w:sz w:val="20"/>
          <w:szCs w:val="20"/>
        </w:rPr>
        <w:t xml:space="preserve"> </w:t>
      </w:r>
      <w:r>
        <w:rPr>
          <w:color w:val="000000"/>
        </w:rPr>
        <w:t>Expected dates of release of new data for this indicator, including the year (or, ideally, the quarter/month when the next data point associated with the indicator will become available).</w:t>
      </w:r>
    </w:p>
    <w:p w:rsidR="003D6B14" w:rsidRDefault="002462A6">
      <w:pPr>
        <w:spacing w:after="240"/>
        <w:rPr>
          <w:b/>
          <w:i/>
        </w:rPr>
      </w:pPr>
      <w:r>
        <w:rPr>
          <w:b/>
          <w:i/>
        </w:rPr>
        <w:t>3.e. Data providers</w:t>
      </w:r>
      <w:r>
        <w:t>: Identification of national and/or international data provider(s), specifying the organization(s) responsible for producing the data.</w:t>
      </w:r>
      <w:r>
        <w:rPr>
          <w:b/>
          <w:i/>
        </w:rPr>
        <w:tab/>
      </w:r>
    </w:p>
    <w:p w:rsidR="003D6B14" w:rsidRDefault="002462A6">
      <w:r>
        <w:rPr>
          <w:b/>
          <w:i/>
        </w:rPr>
        <w:t>3.f. Data compilers</w:t>
      </w:r>
      <w:r>
        <w:t>: Organization(s) responsible for compilation of this indicator either at national or global level.</w:t>
      </w:r>
    </w:p>
    <w:p w:rsidR="003D6B14" w:rsidRDefault="002462A6">
      <w:pPr>
        <w:rPr>
          <w:b/>
          <w:i/>
        </w:rPr>
      </w:pPr>
      <w:r>
        <w:rPr>
          <w:b/>
          <w:i/>
        </w:rPr>
        <w:t>3.g. Institutional mandate</w:t>
      </w:r>
      <w:r>
        <w:t>: Description of the set of rules or other formal set of instructions assigning responsibility as well as the authority to an organisation for the collection, processing, and dissemination of statistics for this indicator.</w:t>
      </w:r>
      <w:r>
        <w:rPr>
          <w:b/>
          <w:i/>
        </w:rPr>
        <w:tab/>
      </w:r>
    </w:p>
    <w:p w:rsidR="003D6B14" w:rsidRDefault="002462A6">
      <w:pPr>
        <w:pBdr>
          <w:top w:val="nil"/>
          <w:left w:val="nil"/>
          <w:bottom w:val="nil"/>
          <w:right w:val="nil"/>
          <w:between w:val="nil"/>
        </w:pBdr>
        <w:spacing w:after="0" w:line="240" w:lineRule="auto"/>
        <w:rPr>
          <w:color w:val="000000"/>
        </w:rPr>
      </w:pPr>
      <w:r>
        <w:rPr>
          <w:b/>
          <w:i/>
          <w:color w:val="000000"/>
        </w:rPr>
        <w:t>4.a. Rationale</w:t>
      </w:r>
      <w:r>
        <w:rPr>
          <w:color w:val="000000"/>
        </w:rPr>
        <w:t>:</w:t>
      </w:r>
      <w:r>
        <w:rPr>
          <w:color w:val="000000"/>
          <w:sz w:val="20"/>
          <w:szCs w:val="20"/>
        </w:rPr>
        <w:t xml:space="preserve"> </w:t>
      </w:r>
      <w:r>
        <w:rPr>
          <w:color w:val="000000"/>
        </w:rPr>
        <w:t>Description of the purpose and rationale behind the indicator, as well as examples and guidance on its correct interpretation and meaning.</w:t>
      </w:r>
    </w:p>
    <w:p w:rsidR="003D6B14" w:rsidRDefault="003D6B14">
      <w:pPr>
        <w:pBdr>
          <w:top w:val="nil"/>
          <w:left w:val="nil"/>
          <w:bottom w:val="nil"/>
          <w:right w:val="nil"/>
          <w:between w:val="nil"/>
        </w:pBdr>
        <w:spacing w:after="0" w:line="240" w:lineRule="auto"/>
        <w:rPr>
          <w:color w:val="000000"/>
        </w:rPr>
      </w:pPr>
    </w:p>
    <w:p w:rsidR="003D6B14" w:rsidRDefault="002462A6">
      <w:r>
        <w:rPr>
          <w:b/>
          <w:i/>
        </w:rPr>
        <w:t>4.b. Comment and limitations</w:t>
      </w:r>
      <w:r>
        <w:t>:</w:t>
      </w:r>
      <w:r>
        <w:rPr>
          <w:b/>
          <w:i/>
        </w:rPr>
        <w:t xml:space="preserve"> </w:t>
      </w:r>
      <w:r>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rsidR="003D6B14" w:rsidRDefault="002462A6">
      <w:pPr>
        <w:pBdr>
          <w:top w:val="nil"/>
          <w:left w:val="nil"/>
          <w:bottom w:val="nil"/>
          <w:right w:val="nil"/>
          <w:between w:val="nil"/>
        </w:pBdr>
        <w:spacing w:after="0" w:line="240" w:lineRule="auto"/>
        <w:rPr>
          <w:color w:val="000000"/>
        </w:rPr>
      </w:pPr>
      <w:r>
        <w:rPr>
          <w:b/>
          <w:i/>
          <w:color w:val="000000"/>
        </w:rPr>
        <w:t>4.c. Method of computation</w:t>
      </w:r>
      <w:r>
        <w:rPr>
          <w:color w:val="000000"/>
        </w:rPr>
        <w:t>:</w:t>
      </w:r>
      <w:r>
        <w:rPr>
          <w:b/>
          <w:i/>
          <w:color w:val="000000"/>
          <w:sz w:val="20"/>
          <w:szCs w:val="20"/>
        </w:rPr>
        <w:t xml:space="preserve"> </w:t>
      </w:r>
      <w:r>
        <w:rPr>
          <w:color w:val="000000"/>
        </w:rPr>
        <w:t xml:space="preserve">Explanation of how the indicator is calculated, including mathematical formulas and descriptive information of computations made on the source data to produce the indicator </w:t>
      </w:r>
      <w:r>
        <w:rPr>
          <w:color w:val="000000"/>
        </w:rPr>
        <w:lastRenderedPageBreak/>
        <w:t>(including adjustments and weighting). This explanation should also highlight cases in which mixed sources are used or where the calculation has changed over time (i.e., discontinuities in the series).</w:t>
      </w:r>
    </w:p>
    <w:p w:rsidR="003D6B14" w:rsidRDefault="003D6B14">
      <w:pPr>
        <w:pBdr>
          <w:top w:val="nil"/>
          <w:left w:val="nil"/>
          <w:bottom w:val="nil"/>
          <w:right w:val="nil"/>
          <w:between w:val="nil"/>
        </w:pBdr>
        <w:spacing w:after="0" w:line="240" w:lineRule="auto"/>
        <w:rPr>
          <w:color w:val="000000"/>
        </w:rPr>
      </w:pPr>
    </w:p>
    <w:p w:rsidR="003D6B14" w:rsidRDefault="002462A6">
      <w:r>
        <w:rPr>
          <w:b/>
          <w:i/>
        </w:rPr>
        <w:t xml:space="preserve">4.d. Validation: </w:t>
      </w:r>
      <w:r>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rsidR="003D6B14" w:rsidRDefault="002462A6">
      <w:r>
        <w:rPr>
          <w:b/>
          <w:i/>
        </w:rPr>
        <w:t>4.e. Adjustments</w:t>
      </w:r>
      <w:r>
        <w:t>: Global reporting: Description of any adjustments with respect to use of standard classifications and harmonization of breakdowns for age group and other dimensions, or adjustments made for compliance with specific international or national definitions. National reporting:  This concept is typically not applicable for national reporting.</w:t>
      </w:r>
    </w:p>
    <w:p w:rsidR="003D6B14" w:rsidRDefault="002462A6">
      <w:r>
        <w:rPr>
          <w:b/>
          <w:i/>
        </w:rPr>
        <w:t>4.f. Treatment of missing values (i) at country level and (ii) at regional level</w:t>
      </w:r>
      <w:r>
        <w:t>: Global reporting: (National level) Description of the methodology employed for producing estimates for the indicator when country data are not available, including any mathematical formulas and description of additional variables used as input into the estimation process. (Regional level) Description of how missing values for individual countries or areas are imputed or otherwise estimated by international agencies to derive regional or global aggregates of the indicator. National reporting: This concept is not applicable for national reporting.</w:t>
      </w:r>
    </w:p>
    <w:p w:rsidR="003D6B14" w:rsidRDefault="002462A6">
      <w:r>
        <w:rPr>
          <w:b/>
          <w:i/>
        </w:rPr>
        <w:t>4.g. Regional aggregations</w:t>
      </w:r>
      <w:r>
        <w:t>: Global reporting: 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 National reporting: This concept is not applicable for national reporting.</w:t>
      </w:r>
    </w:p>
    <w:p w:rsidR="003D6B14" w:rsidRDefault="002462A6">
      <w:r>
        <w:rPr>
          <w:b/>
          <w:i/>
        </w:rPr>
        <w:t>4.h. Methods and guidance available to countries for the compilation of the data at the national level:</w:t>
      </w:r>
      <w:r>
        <w:t xml:space="preserve"> Global reporting: Description of methodology used by countries for the compilation of data at national level and the relevant international recommendations and guidelines available to countries. Descriptions and links to all relevant reference materials should be provided. National reporting: For national reporting a country may refer to the globally available metadata and explain how it is being used.</w:t>
      </w:r>
    </w:p>
    <w:p w:rsidR="003D6B14" w:rsidRDefault="002462A6">
      <w:r>
        <w:rPr>
          <w:b/>
          <w:i/>
        </w:rPr>
        <w:t>4.i. Quality management</w:t>
      </w:r>
      <w:r>
        <w:t>: Description of systems and frameworks in place within an organisation to manage the quality of statistical products and processes.</w:t>
      </w:r>
    </w:p>
    <w:p w:rsidR="003D6B14" w:rsidRDefault="002462A6">
      <w:r>
        <w:rPr>
          <w:b/>
          <w:i/>
        </w:rPr>
        <w:t xml:space="preserve">4.j Quality assurance: </w:t>
      </w:r>
      <w:r>
        <w:t>Description of practices and guidelines focusing on quality in general and dealing with quality of statistical programmes at your agency, including measures for ensuring the efficient use of resources.</w:t>
      </w:r>
    </w:p>
    <w:p w:rsidR="003D6B14" w:rsidRDefault="002462A6">
      <w:pPr>
        <w:pBdr>
          <w:top w:val="nil"/>
          <w:left w:val="nil"/>
          <w:bottom w:val="nil"/>
          <w:right w:val="nil"/>
          <w:between w:val="nil"/>
        </w:pBdr>
        <w:spacing w:after="0" w:line="240" w:lineRule="auto"/>
        <w:rPr>
          <w:color w:val="000000"/>
        </w:rPr>
      </w:pPr>
      <w:r>
        <w:rPr>
          <w:b/>
          <w:i/>
          <w:color w:val="000000"/>
        </w:rPr>
        <w:t>4.k Quality assessment</w:t>
      </w:r>
      <w:r>
        <w:rPr>
          <w:color w:val="000000"/>
        </w:rPr>
        <w:t>:</w:t>
      </w:r>
      <w:r>
        <w:rPr>
          <w:color w:val="000000"/>
          <w:sz w:val="20"/>
          <w:szCs w:val="20"/>
        </w:rPr>
        <w:t xml:space="preserve"> </w:t>
      </w:r>
      <w:r>
        <w:rPr>
          <w:color w:val="000000"/>
        </w:rPr>
        <w:t>Description of overall evaluation of fulfilling quality requirements, based on standard quality criteria.</w:t>
      </w:r>
    </w:p>
    <w:p w:rsidR="003D6B14" w:rsidRDefault="003D6B14">
      <w:pPr>
        <w:pBdr>
          <w:top w:val="nil"/>
          <w:left w:val="nil"/>
          <w:bottom w:val="nil"/>
          <w:right w:val="nil"/>
          <w:between w:val="nil"/>
        </w:pBdr>
        <w:spacing w:after="0" w:line="240" w:lineRule="auto"/>
        <w:rPr>
          <w:color w:val="000000"/>
        </w:rPr>
      </w:pPr>
    </w:p>
    <w:p w:rsidR="003D6B14" w:rsidRDefault="003D6B14">
      <w:pPr>
        <w:pBdr>
          <w:top w:val="nil"/>
          <w:left w:val="nil"/>
          <w:bottom w:val="nil"/>
          <w:right w:val="nil"/>
          <w:between w:val="nil"/>
        </w:pBdr>
        <w:spacing w:after="0" w:line="240" w:lineRule="auto"/>
        <w:rPr>
          <w:color w:val="000000"/>
        </w:rPr>
      </w:pPr>
    </w:p>
    <w:p w:rsidR="003D6B14" w:rsidRDefault="002462A6">
      <w:pPr>
        <w:pBdr>
          <w:top w:val="nil"/>
          <w:left w:val="nil"/>
          <w:bottom w:val="nil"/>
          <w:right w:val="nil"/>
          <w:between w:val="nil"/>
        </w:pBdr>
        <w:spacing w:after="0" w:line="240" w:lineRule="auto"/>
        <w:rPr>
          <w:color w:val="000000"/>
        </w:rPr>
      </w:pPr>
      <w:r>
        <w:rPr>
          <w:b/>
          <w:i/>
          <w:color w:val="000000"/>
        </w:rPr>
        <w:lastRenderedPageBreak/>
        <w:t>5. Data availability and disaggregation:</w:t>
      </w:r>
      <w:r>
        <w:rPr>
          <w:b/>
          <w:i/>
          <w:color w:val="000000"/>
          <w:sz w:val="20"/>
          <w:szCs w:val="20"/>
        </w:rPr>
        <w:t xml:space="preserve"> </w:t>
      </w:r>
      <w:r>
        <w:rPr>
          <w:color w:val="000000"/>
        </w:rPr>
        <w:t>Global reporting: Indicate for how many countries the data for this indicator are already currently available on a regular basis. Data availability by regional breakdowns and time periods can also be descibed here. Describe the specification of the dimensions and levels used for disaggregation of the indicator (e.g., income, sex, age group, geographic location, disability status, etc.). National reporting: Data availability by sub-national breakdowns and time periods can be descibed here. Describe the specification of the dimensions and levels used for disaggregation of the indicator (e.g., income, sex, age group, geographic location, disability status, etc.).</w:t>
      </w:r>
    </w:p>
    <w:p w:rsidR="003D6B14" w:rsidRDefault="003D6B14">
      <w:pPr>
        <w:pBdr>
          <w:top w:val="nil"/>
          <w:left w:val="nil"/>
          <w:bottom w:val="nil"/>
          <w:right w:val="nil"/>
          <w:between w:val="nil"/>
        </w:pBdr>
        <w:spacing w:after="0" w:line="240" w:lineRule="auto"/>
        <w:rPr>
          <w:color w:val="000000"/>
        </w:rPr>
      </w:pPr>
    </w:p>
    <w:p w:rsidR="003D6B14" w:rsidRDefault="002462A6">
      <w:r>
        <w:rPr>
          <w:b/>
          <w:i/>
        </w:rPr>
        <w:t>6. Comparability / Deviation from international standards:</w:t>
      </w:r>
      <w:r>
        <w:t xml:space="preserve"> Explanation on the differences between country produced and internationally estimated data on this indicator, highlighting and summarising the main sources of differences.</w:t>
      </w:r>
    </w:p>
    <w:p w:rsidR="003D6B14" w:rsidRDefault="002462A6">
      <w:r>
        <w:rPr>
          <w:b/>
          <w:i/>
        </w:rPr>
        <w:t>7. References and Documentation</w:t>
      </w:r>
      <w:r>
        <w:t>: Descriptions and links to all relevant reference materials related to this indicator.</w:t>
      </w:r>
    </w:p>
    <w:p w:rsidR="003D6B14" w:rsidRDefault="002462A6">
      <w:pPr>
        <w:pBdr>
          <w:top w:val="nil"/>
          <w:left w:val="nil"/>
          <w:bottom w:val="nil"/>
          <w:right w:val="nil"/>
          <w:between w:val="nil"/>
        </w:pBdr>
        <w:shd w:val="clear" w:color="auto" w:fill="F5F5F5"/>
        <w:spacing w:after="0" w:line="276" w:lineRule="auto"/>
        <w:rPr>
          <w:color w:val="1C75BC"/>
          <w:sz w:val="28"/>
          <w:szCs w:val="28"/>
        </w:rPr>
      </w:pPr>
      <w:bookmarkStart w:id="14" w:name="35nkun2" w:colFirst="0" w:colLast="0"/>
      <w:bookmarkStart w:id="15" w:name="_lnxbz9" w:colFirst="0" w:colLast="0"/>
      <w:bookmarkEnd w:id="14"/>
      <w:bookmarkEnd w:id="15"/>
      <w:r>
        <w:rPr>
          <w:color w:val="1C75BC"/>
          <w:sz w:val="28"/>
          <w:szCs w:val="28"/>
        </w:rPr>
        <w:t>B. Mapping of SDMX Detailed Concepts to IAEG-SDG File Format</w:t>
      </w:r>
    </w:p>
    <w:p w:rsidR="003D6B14" w:rsidRDefault="002462A6">
      <w:pPr>
        <w:pBdr>
          <w:top w:val="nil"/>
          <w:left w:val="nil"/>
          <w:bottom w:val="nil"/>
          <w:right w:val="nil"/>
          <w:between w:val="nil"/>
        </w:pBdr>
        <w:shd w:val="clear" w:color="auto" w:fill="FFFFFF"/>
        <w:spacing w:after="0" w:line="276" w:lineRule="auto"/>
        <w:rPr>
          <w:color w:val="4A4A4A"/>
          <w:sz w:val="21"/>
          <w:szCs w:val="21"/>
        </w:rPr>
      </w:pPr>
      <w:r>
        <w:rPr>
          <w:color w:val="4A4A4A"/>
          <w:sz w:val="21"/>
          <w:szCs w:val="21"/>
        </w:rPr>
        <w:t>This is an aid to format the SDMX metadata concepts to the metadata submitted in the IAEG-SDG file format. In some cases, these headers and sections of the IAEG-SDG format do not correspond perfectly to the SDMX concepts. Consult the SDMX metadata concept definitions.</w:t>
      </w:r>
    </w:p>
    <w:p w:rsidR="003D6B14" w:rsidRDefault="003D6B14">
      <w:pPr>
        <w:pBdr>
          <w:top w:val="nil"/>
          <w:left w:val="nil"/>
          <w:bottom w:val="nil"/>
          <w:right w:val="nil"/>
          <w:between w:val="nil"/>
        </w:pBdr>
        <w:shd w:val="clear" w:color="auto" w:fill="FFFFFF"/>
        <w:spacing w:after="0" w:line="276" w:lineRule="auto"/>
        <w:rPr>
          <w:color w:val="4A4A4A"/>
          <w:sz w:val="21"/>
          <w:szCs w:val="21"/>
        </w:rPr>
      </w:pPr>
    </w:p>
    <w:tbl>
      <w:tblPr>
        <w:tblStyle w:val="a7"/>
        <w:tblW w:w="8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2"/>
        <w:gridCol w:w="5310"/>
      </w:tblGrid>
      <w:tr w:rsidR="003D6B14">
        <w:trPr>
          <w:trHeight w:val="300"/>
        </w:trPr>
        <w:tc>
          <w:tcPr>
            <w:tcW w:w="3232" w:type="dxa"/>
            <w:shd w:val="clear" w:color="auto" w:fill="BDD7EE"/>
            <w:tcMar>
              <w:top w:w="0" w:type="dxa"/>
              <w:left w:w="45" w:type="dxa"/>
              <w:bottom w:w="0" w:type="dxa"/>
              <w:right w:w="45" w:type="dxa"/>
            </w:tcMar>
          </w:tcPr>
          <w:p w:rsidR="003D6B14" w:rsidRDefault="002462A6">
            <w:pPr>
              <w:spacing w:after="0" w:line="240" w:lineRule="auto"/>
              <w:rPr>
                <w:color w:val="000000"/>
              </w:rPr>
            </w:pPr>
            <w:r>
              <w:rPr>
                <w:color w:val="000000"/>
              </w:rPr>
              <w:t>Detailed Metadata Concept Name</w:t>
            </w:r>
          </w:p>
        </w:tc>
        <w:tc>
          <w:tcPr>
            <w:tcW w:w="5310" w:type="dxa"/>
            <w:shd w:val="clear" w:color="auto" w:fill="BDD7EE"/>
            <w:tcMar>
              <w:top w:w="0" w:type="dxa"/>
              <w:left w:w="45" w:type="dxa"/>
              <w:bottom w:w="0" w:type="dxa"/>
              <w:right w:w="45" w:type="dxa"/>
            </w:tcMar>
          </w:tcPr>
          <w:p w:rsidR="003D6B14" w:rsidRDefault="002462A6">
            <w:pPr>
              <w:spacing w:after="0" w:line="240" w:lineRule="auto"/>
              <w:rPr>
                <w:color w:val="000000"/>
              </w:rPr>
            </w:pPr>
            <w:r>
              <w:rPr>
                <w:color w:val="000000"/>
              </w:rPr>
              <w:t>IAEG-SDG Headers and Subheaders</w:t>
            </w: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0.a. Goal</w:t>
            </w:r>
          </w:p>
        </w:tc>
        <w:tc>
          <w:tcPr>
            <w:tcW w:w="5310" w:type="dxa"/>
            <w:shd w:val="clear" w:color="auto" w:fill="E7E6E6"/>
            <w:tcMar>
              <w:top w:w="0" w:type="dxa"/>
              <w:left w:w="45" w:type="dxa"/>
              <w:bottom w:w="0" w:type="dxa"/>
              <w:right w:w="45" w:type="dxa"/>
            </w:tcMar>
          </w:tcPr>
          <w:p w:rsidR="003D6B14" w:rsidRDefault="002462A6">
            <w:pPr>
              <w:spacing w:after="0" w:line="240" w:lineRule="auto"/>
            </w:pPr>
            <w:r>
              <w:t xml:space="preserve">Goal </w:t>
            </w: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0.b. Target</w:t>
            </w:r>
          </w:p>
        </w:tc>
        <w:tc>
          <w:tcPr>
            <w:tcW w:w="5310" w:type="dxa"/>
            <w:shd w:val="clear" w:color="auto" w:fill="E7E6E6"/>
            <w:tcMar>
              <w:top w:w="0" w:type="dxa"/>
              <w:left w:w="45" w:type="dxa"/>
              <w:bottom w:w="0" w:type="dxa"/>
              <w:right w:w="45" w:type="dxa"/>
            </w:tcMar>
          </w:tcPr>
          <w:p w:rsidR="003D6B14" w:rsidRDefault="002462A6">
            <w:pPr>
              <w:spacing w:after="0" w:line="240" w:lineRule="auto"/>
            </w:pPr>
            <w:r>
              <w:t xml:space="preserve">Target </w:t>
            </w: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0.c. Indicator</w:t>
            </w:r>
          </w:p>
        </w:tc>
        <w:tc>
          <w:tcPr>
            <w:tcW w:w="5310" w:type="dxa"/>
            <w:shd w:val="clear" w:color="auto" w:fill="E7E6E6"/>
            <w:tcMar>
              <w:top w:w="0" w:type="dxa"/>
              <w:left w:w="45" w:type="dxa"/>
              <w:bottom w:w="0" w:type="dxa"/>
              <w:right w:w="45" w:type="dxa"/>
            </w:tcMar>
          </w:tcPr>
          <w:p w:rsidR="003D6B14" w:rsidRDefault="002462A6">
            <w:pPr>
              <w:spacing w:after="0" w:line="240" w:lineRule="auto"/>
            </w:pPr>
            <w:r>
              <w:t>Indicator</w:t>
            </w: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0.d. Series</w:t>
            </w:r>
          </w:p>
        </w:tc>
        <w:tc>
          <w:tcPr>
            <w:tcW w:w="5310" w:type="dxa"/>
            <w:shd w:val="clear" w:color="auto" w:fill="E7E6E6"/>
            <w:tcMar>
              <w:top w:w="0" w:type="dxa"/>
              <w:left w:w="45" w:type="dxa"/>
              <w:bottom w:w="0" w:type="dxa"/>
              <w:right w:w="45" w:type="dxa"/>
            </w:tcMar>
          </w:tcPr>
          <w:p w:rsidR="003D6B14" w:rsidRDefault="003D6B14">
            <w:pPr>
              <w:spacing w:after="0" w:line="240" w:lineRule="auto"/>
            </w:pP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0.e. Metadata update</w:t>
            </w:r>
          </w:p>
        </w:tc>
        <w:tc>
          <w:tcPr>
            <w:tcW w:w="5310" w:type="dxa"/>
            <w:shd w:val="clear" w:color="auto" w:fill="E7E6E6"/>
            <w:tcMar>
              <w:top w:w="0" w:type="dxa"/>
              <w:left w:w="45" w:type="dxa"/>
              <w:bottom w:w="0" w:type="dxa"/>
              <w:right w:w="45" w:type="dxa"/>
            </w:tcMar>
          </w:tcPr>
          <w:p w:rsidR="003D6B14" w:rsidRDefault="002462A6">
            <w:pPr>
              <w:spacing w:after="0" w:line="240" w:lineRule="auto"/>
            </w:pPr>
            <w:r>
              <w:t>Last updated: [DATE]</w:t>
            </w: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0.f. Related indicators</w:t>
            </w:r>
          </w:p>
        </w:tc>
        <w:tc>
          <w:tcPr>
            <w:tcW w:w="5310" w:type="dxa"/>
            <w:shd w:val="clear" w:color="auto" w:fill="E7E6E6"/>
            <w:tcMar>
              <w:top w:w="0" w:type="dxa"/>
              <w:left w:w="45" w:type="dxa"/>
              <w:bottom w:w="0" w:type="dxa"/>
              <w:right w:w="45" w:type="dxa"/>
            </w:tcMar>
          </w:tcPr>
          <w:p w:rsidR="003D6B14" w:rsidRDefault="002462A6">
            <w:pPr>
              <w:spacing w:after="0" w:line="240" w:lineRule="auto"/>
            </w:pPr>
            <w:r>
              <w:t>Related indicators</w:t>
            </w: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0.g. International organisations(s) responsible for global monitoring</w:t>
            </w:r>
          </w:p>
        </w:tc>
        <w:tc>
          <w:tcPr>
            <w:tcW w:w="5310" w:type="dxa"/>
            <w:shd w:val="clear" w:color="auto" w:fill="E7E6E6"/>
            <w:tcMar>
              <w:top w:w="0" w:type="dxa"/>
              <w:left w:w="45" w:type="dxa"/>
              <w:bottom w:w="0" w:type="dxa"/>
              <w:right w:w="45" w:type="dxa"/>
            </w:tcMar>
          </w:tcPr>
          <w:p w:rsidR="003D6B14" w:rsidRDefault="002462A6">
            <w:pPr>
              <w:spacing w:after="0" w:line="240" w:lineRule="auto"/>
            </w:pPr>
            <w:r>
              <w:t>Institutional information</w:t>
            </w:r>
            <w:r>
              <w:br/>
              <w:t>Organization(s)</w:t>
            </w: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1.a. Organisation</w:t>
            </w:r>
          </w:p>
        </w:tc>
        <w:tc>
          <w:tcPr>
            <w:tcW w:w="5310" w:type="dxa"/>
            <w:shd w:val="clear" w:color="auto" w:fill="E7E6E6"/>
            <w:tcMar>
              <w:top w:w="0" w:type="dxa"/>
              <w:left w:w="45" w:type="dxa"/>
              <w:bottom w:w="0" w:type="dxa"/>
              <w:right w:w="45" w:type="dxa"/>
            </w:tcMar>
          </w:tcPr>
          <w:p w:rsidR="003D6B14" w:rsidRDefault="003D6B14">
            <w:pPr>
              <w:spacing w:after="0" w:line="240" w:lineRule="auto"/>
            </w:pP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1.b. Contact person(s)</w:t>
            </w:r>
          </w:p>
        </w:tc>
        <w:tc>
          <w:tcPr>
            <w:tcW w:w="5310" w:type="dxa"/>
            <w:shd w:val="clear" w:color="auto" w:fill="E7E6E6"/>
            <w:tcMar>
              <w:top w:w="0" w:type="dxa"/>
              <w:left w:w="45" w:type="dxa"/>
              <w:bottom w:w="0" w:type="dxa"/>
              <w:right w:w="45" w:type="dxa"/>
            </w:tcMar>
          </w:tcPr>
          <w:p w:rsidR="003D6B14" w:rsidRDefault="003D6B14">
            <w:pPr>
              <w:spacing w:after="0" w:line="240" w:lineRule="auto"/>
            </w:pP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1.c. Contact organisation unit</w:t>
            </w:r>
          </w:p>
        </w:tc>
        <w:tc>
          <w:tcPr>
            <w:tcW w:w="5310" w:type="dxa"/>
            <w:shd w:val="clear" w:color="auto" w:fill="E7E6E6"/>
            <w:tcMar>
              <w:top w:w="0" w:type="dxa"/>
              <w:left w:w="45" w:type="dxa"/>
              <w:bottom w:w="0" w:type="dxa"/>
              <w:right w:w="45" w:type="dxa"/>
            </w:tcMar>
          </w:tcPr>
          <w:p w:rsidR="003D6B14" w:rsidRDefault="003D6B14">
            <w:pPr>
              <w:spacing w:after="0" w:line="240" w:lineRule="auto"/>
            </w:pP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1.d. Contact person function</w:t>
            </w:r>
          </w:p>
        </w:tc>
        <w:tc>
          <w:tcPr>
            <w:tcW w:w="5310" w:type="dxa"/>
            <w:shd w:val="clear" w:color="auto" w:fill="E7E6E6"/>
            <w:tcMar>
              <w:top w:w="0" w:type="dxa"/>
              <w:left w:w="45" w:type="dxa"/>
              <w:bottom w:w="0" w:type="dxa"/>
              <w:right w:w="45" w:type="dxa"/>
            </w:tcMar>
          </w:tcPr>
          <w:p w:rsidR="003D6B14" w:rsidRDefault="003D6B14">
            <w:pPr>
              <w:spacing w:after="0" w:line="240" w:lineRule="auto"/>
            </w:pP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1.e. Contact phone</w:t>
            </w:r>
          </w:p>
        </w:tc>
        <w:tc>
          <w:tcPr>
            <w:tcW w:w="5310" w:type="dxa"/>
            <w:shd w:val="clear" w:color="auto" w:fill="E7E6E6"/>
            <w:tcMar>
              <w:top w:w="0" w:type="dxa"/>
              <w:left w:w="45" w:type="dxa"/>
              <w:bottom w:w="0" w:type="dxa"/>
              <w:right w:w="45" w:type="dxa"/>
            </w:tcMar>
          </w:tcPr>
          <w:p w:rsidR="003D6B14" w:rsidRDefault="003D6B14">
            <w:pPr>
              <w:spacing w:after="0" w:line="240" w:lineRule="auto"/>
            </w:pP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1.f. Contact mail</w:t>
            </w:r>
          </w:p>
        </w:tc>
        <w:tc>
          <w:tcPr>
            <w:tcW w:w="5310" w:type="dxa"/>
            <w:shd w:val="clear" w:color="auto" w:fill="E7E6E6"/>
            <w:tcMar>
              <w:top w:w="0" w:type="dxa"/>
              <w:left w:w="45" w:type="dxa"/>
              <w:bottom w:w="0" w:type="dxa"/>
              <w:right w:w="45" w:type="dxa"/>
            </w:tcMar>
          </w:tcPr>
          <w:p w:rsidR="003D6B14" w:rsidRDefault="003D6B14">
            <w:pPr>
              <w:spacing w:after="0" w:line="240" w:lineRule="auto"/>
            </w:pP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1.g. Contact emails</w:t>
            </w:r>
          </w:p>
        </w:tc>
        <w:tc>
          <w:tcPr>
            <w:tcW w:w="5310" w:type="dxa"/>
            <w:shd w:val="clear" w:color="auto" w:fill="E7E6E6"/>
            <w:tcMar>
              <w:top w:w="0" w:type="dxa"/>
              <w:left w:w="45" w:type="dxa"/>
              <w:bottom w:w="0" w:type="dxa"/>
              <w:right w:w="45" w:type="dxa"/>
            </w:tcMar>
          </w:tcPr>
          <w:p w:rsidR="003D6B14" w:rsidRDefault="003D6B14">
            <w:pPr>
              <w:spacing w:after="0" w:line="240" w:lineRule="auto"/>
            </w:pPr>
          </w:p>
        </w:tc>
      </w:tr>
      <w:tr w:rsidR="003D6B14">
        <w:trPr>
          <w:trHeight w:val="302"/>
        </w:trPr>
        <w:tc>
          <w:tcPr>
            <w:tcW w:w="3232" w:type="dxa"/>
            <w:shd w:val="clear" w:color="auto" w:fill="E7E6E6"/>
            <w:tcMar>
              <w:top w:w="0" w:type="dxa"/>
              <w:left w:w="45" w:type="dxa"/>
              <w:bottom w:w="0" w:type="dxa"/>
              <w:right w:w="45" w:type="dxa"/>
            </w:tcMar>
          </w:tcPr>
          <w:p w:rsidR="003D6B14" w:rsidRDefault="002462A6">
            <w:pPr>
              <w:spacing w:after="0" w:line="240" w:lineRule="auto"/>
            </w:pPr>
            <w:r>
              <w:t>2.a. Definition and concepts</w:t>
            </w:r>
          </w:p>
        </w:tc>
        <w:tc>
          <w:tcPr>
            <w:tcW w:w="5310" w:type="dxa"/>
            <w:shd w:val="clear" w:color="auto" w:fill="E7E6E6"/>
            <w:tcMar>
              <w:top w:w="0" w:type="dxa"/>
              <w:left w:w="45" w:type="dxa"/>
              <w:bottom w:w="0" w:type="dxa"/>
              <w:right w:w="45" w:type="dxa"/>
            </w:tcMar>
          </w:tcPr>
          <w:p w:rsidR="003D6B14" w:rsidRDefault="002462A6">
            <w:pPr>
              <w:spacing w:after="0" w:line="240" w:lineRule="auto"/>
            </w:pPr>
            <w:r>
              <w:t>Concepts and definitions</w:t>
            </w:r>
            <w:r>
              <w:br/>
              <w:t>Definition</w:t>
            </w:r>
            <w:r>
              <w:br/>
              <w:t>Concepts</w:t>
            </w: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2.b. Unit of measure</w:t>
            </w:r>
          </w:p>
        </w:tc>
        <w:tc>
          <w:tcPr>
            <w:tcW w:w="5310" w:type="dxa"/>
            <w:shd w:val="clear" w:color="auto" w:fill="E7E6E6"/>
            <w:tcMar>
              <w:top w:w="0" w:type="dxa"/>
              <w:left w:w="45" w:type="dxa"/>
              <w:bottom w:w="0" w:type="dxa"/>
              <w:right w:w="45" w:type="dxa"/>
            </w:tcMar>
          </w:tcPr>
          <w:p w:rsidR="003D6B14" w:rsidRDefault="003D6B14">
            <w:pPr>
              <w:spacing w:after="0" w:line="240" w:lineRule="auto"/>
            </w:pP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2.c. Classifications</w:t>
            </w:r>
          </w:p>
        </w:tc>
        <w:tc>
          <w:tcPr>
            <w:tcW w:w="5310" w:type="dxa"/>
            <w:shd w:val="clear" w:color="auto" w:fill="E7E6E6"/>
            <w:tcMar>
              <w:top w:w="0" w:type="dxa"/>
              <w:left w:w="45" w:type="dxa"/>
              <w:bottom w:w="0" w:type="dxa"/>
              <w:right w:w="45" w:type="dxa"/>
            </w:tcMar>
          </w:tcPr>
          <w:p w:rsidR="003D6B14" w:rsidRDefault="003D6B14">
            <w:pPr>
              <w:spacing w:after="0" w:line="240" w:lineRule="auto"/>
            </w:pP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3.a. Data sources</w:t>
            </w:r>
          </w:p>
        </w:tc>
        <w:tc>
          <w:tcPr>
            <w:tcW w:w="5310" w:type="dxa"/>
            <w:shd w:val="clear" w:color="auto" w:fill="E7E6E6"/>
            <w:tcMar>
              <w:top w:w="0" w:type="dxa"/>
              <w:left w:w="45" w:type="dxa"/>
              <w:bottom w:w="0" w:type="dxa"/>
              <w:right w:w="45" w:type="dxa"/>
            </w:tcMar>
          </w:tcPr>
          <w:p w:rsidR="003D6B14" w:rsidRDefault="002462A6">
            <w:pPr>
              <w:spacing w:after="0" w:line="240" w:lineRule="auto"/>
            </w:pPr>
            <w:r>
              <w:t>Data sources</w:t>
            </w:r>
            <w:r>
              <w:br/>
              <w:t>Description</w:t>
            </w: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3.b. Data collection method</w:t>
            </w:r>
          </w:p>
        </w:tc>
        <w:tc>
          <w:tcPr>
            <w:tcW w:w="5310" w:type="dxa"/>
            <w:shd w:val="clear" w:color="auto" w:fill="E7E6E6"/>
            <w:tcMar>
              <w:top w:w="0" w:type="dxa"/>
              <w:left w:w="45" w:type="dxa"/>
              <w:bottom w:w="0" w:type="dxa"/>
              <w:right w:w="45" w:type="dxa"/>
            </w:tcMar>
          </w:tcPr>
          <w:p w:rsidR="003D6B14" w:rsidRDefault="002462A6">
            <w:pPr>
              <w:spacing w:after="0" w:line="240" w:lineRule="auto"/>
            </w:pPr>
            <w:r>
              <w:t>Collection process</w:t>
            </w: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lastRenderedPageBreak/>
              <w:t>3.c. Data collection calendar</w:t>
            </w:r>
          </w:p>
        </w:tc>
        <w:tc>
          <w:tcPr>
            <w:tcW w:w="5310" w:type="dxa"/>
            <w:shd w:val="clear" w:color="auto" w:fill="E7E6E6"/>
            <w:tcMar>
              <w:top w:w="0" w:type="dxa"/>
              <w:left w:w="45" w:type="dxa"/>
              <w:bottom w:w="0" w:type="dxa"/>
              <w:right w:w="45" w:type="dxa"/>
            </w:tcMar>
          </w:tcPr>
          <w:p w:rsidR="003D6B14" w:rsidRDefault="002462A6">
            <w:pPr>
              <w:spacing w:after="0" w:line="240" w:lineRule="auto"/>
            </w:pPr>
            <w:r>
              <w:t>Calendar</w:t>
            </w:r>
            <w:r>
              <w:br/>
              <w:t>Data collection</w:t>
            </w: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3.d. Data release calendar</w:t>
            </w:r>
          </w:p>
        </w:tc>
        <w:tc>
          <w:tcPr>
            <w:tcW w:w="5310" w:type="dxa"/>
            <w:shd w:val="clear" w:color="auto" w:fill="E7E6E6"/>
            <w:tcMar>
              <w:top w:w="0" w:type="dxa"/>
              <w:left w:w="45" w:type="dxa"/>
              <w:bottom w:w="0" w:type="dxa"/>
              <w:right w:w="45" w:type="dxa"/>
            </w:tcMar>
          </w:tcPr>
          <w:p w:rsidR="003D6B14" w:rsidRDefault="002462A6">
            <w:pPr>
              <w:spacing w:after="0" w:line="240" w:lineRule="auto"/>
            </w:pPr>
            <w:r>
              <w:t>Data release</w:t>
            </w: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3.e. Data providers</w:t>
            </w:r>
          </w:p>
        </w:tc>
        <w:tc>
          <w:tcPr>
            <w:tcW w:w="5310" w:type="dxa"/>
            <w:shd w:val="clear" w:color="auto" w:fill="E7E6E6"/>
            <w:tcMar>
              <w:top w:w="0" w:type="dxa"/>
              <w:left w:w="45" w:type="dxa"/>
              <w:bottom w:w="0" w:type="dxa"/>
              <w:right w:w="45" w:type="dxa"/>
            </w:tcMar>
          </w:tcPr>
          <w:p w:rsidR="003D6B14" w:rsidRDefault="002462A6">
            <w:pPr>
              <w:spacing w:after="0" w:line="240" w:lineRule="auto"/>
            </w:pPr>
            <w:r>
              <w:t>Data providers</w:t>
            </w: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3.f. Data compilers</w:t>
            </w:r>
          </w:p>
        </w:tc>
        <w:tc>
          <w:tcPr>
            <w:tcW w:w="5310" w:type="dxa"/>
            <w:shd w:val="clear" w:color="auto" w:fill="E7E6E6"/>
            <w:tcMar>
              <w:top w:w="0" w:type="dxa"/>
              <w:left w:w="45" w:type="dxa"/>
              <w:bottom w:w="0" w:type="dxa"/>
              <w:right w:w="45" w:type="dxa"/>
            </w:tcMar>
          </w:tcPr>
          <w:p w:rsidR="003D6B14" w:rsidRDefault="002462A6">
            <w:pPr>
              <w:spacing w:after="0" w:line="240" w:lineRule="auto"/>
            </w:pPr>
            <w:r>
              <w:t>Data compilers</w:t>
            </w: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3.g. Institutional mandate</w:t>
            </w:r>
          </w:p>
        </w:tc>
        <w:tc>
          <w:tcPr>
            <w:tcW w:w="5310" w:type="dxa"/>
            <w:shd w:val="clear" w:color="auto" w:fill="E7E6E6"/>
            <w:tcMar>
              <w:top w:w="0" w:type="dxa"/>
              <w:left w:w="45" w:type="dxa"/>
              <w:bottom w:w="0" w:type="dxa"/>
              <w:right w:w="45" w:type="dxa"/>
            </w:tcMar>
          </w:tcPr>
          <w:p w:rsidR="003D6B14" w:rsidRDefault="003D6B14">
            <w:pPr>
              <w:spacing w:after="0" w:line="240" w:lineRule="auto"/>
            </w:pP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4.a. Rationale</w:t>
            </w:r>
          </w:p>
        </w:tc>
        <w:tc>
          <w:tcPr>
            <w:tcW w:w="5310" w:type="dxa"/>
            <w:shd w:val="clear" w:color="auto" w:fill="E7E6E6"/>
            <w:tcMar>
              <w:top w:w="0" w:type="dxa"/>
              <w:left w:w="45" w:type="dxa"/>
              <w:bottom w:w="0" w:type="dxa"/>
              <w:right w:w="45" w:type="dxa"/>
            </w:tcMar>
          </w:tcPr>
          <w:p w:rsidR="003D6B14" w:rsidRDefault="002462A6">
            <w:pPr>
              <w:spacing w:after="0" w:line="240" w:lineRule="auto"/>
            </w:pPr>
            <w:r>
              <w:t>Rationale</w:t>
            </w: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4.b. Comment and limitations</w:t>
            </w:r>
          </w:p>
        </w:tc>
        <w:tc>
          <w:tcPr>
            <w:tcW w:w="5310" w:type="dxa"/>
            <w:shd w:val="clear" w:color="auto" w:fill="E7E6E6"/>
            <w:tcMar>
              <w:top w:w="0" w:type="dxa"/>
              <w:left w:w="45" w:type="dxa"/>
              <w:bottom w:w="0" w:type="dxa"/>
              <w:right w:w="45" w:type="dxa"/>
            </w:tcMar>
          </w:tcPr>
          <w:p w:rsidR="003D6B14" w:rsidRDefault="002462A6">
            <w:pPr>
              <w:spacing w:after="0" w:line="240" w:lineRule="auto"/>
            </w:pPr>
            <w:r>
              <w:t>Comments and limitations</w:t>
            </w: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4.c. Method of computation</w:t>
            </w:r>
          </w:p>
        </w:tc>
        <w:tc>
          <w:tcPr>
            <w:tcW w:w="5310" w:type="dxa"/>
            <w:shd w:val="clear" w:color="auto" w:fill="E7E6E6"/>
            <w:tcMar>
              <w:top w:w="0" w:type="dxa"/>
              <w:left w:w="45" w:type="dxa"/>
              <w:bottom w:w="0" w:type="dxa"/>
              <w:right w:w="45" w:type="dxa"/>
            </w:tcMar>
          </w:tcPr>
          <w:p w:rsidR="003D6B14" w:rsidRDefault="002462A6">
            <w:pPr>
              <w:spacing w:after="0" w:line="240" w:lineRule="auto"/>
            </w:pPr>
            <w:r>
              <w:t>Methodology</w:t>
            </w:r>
            <w:r>
              <w:br/>
              <w:t>Computation method</w:t>
            </w: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4.d. Validation</w:t>
            </w:r>
          </w:p>
        </w:tc>
        <w:tc>
          <w:tcPr>
            <w:tcW w:w="5310" w:type="dxa"/>
            <w:shd w:val="clear" w:color="auto" w:fill="E7E6E6"/>
            <w:tcMar>
              <w:top w:w="0" w:type="dxa"/>
              <w:left w:w="45" w:type="dxa"/>
              <w:bottom w:w="0" w:type="dxa"/>
              <w:right w:w="45" w:type="dxa"/>
            </w:tcMar>
          </w:tcPr>
          <w:p w:rsidR="003D6B14" w:rsidRDefault="003D6B14">
            <w:pPr>
              <w:spacing w:after="0" w:line="240" w:lineRule="auto"/>
            </w:pP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4.e. Adjustments</w:t>
            </w:r>
          </w:p>
        </w:tc>
        <w:tc>
          <w:tcPr>
            <w:tcW w:w="5310" w:type="dxa"/>
            <w:shd w:val="clear" w:color="auto" w:fill="E7E6E6"/>
            <w:tcMar>
              <w:top w:w="0" w:type="dxa"/>
              <w:left w:w="45" w:type="dxa"/>
              <w:bottom w:w="0" w:type="dxa"/>
              <w:right w:w="45" w:type="dxa"/>
            </w:tcMar>
          </w:tcPr>
          <w:p w:rsidR="003D6B14" w:rsidRDefault="003D6B14">
            <w:pPr>
              <w:spacing w:after="0" w:line="240" w:lineRule="auto"/>
            </w:pP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4.f. Treatment of missing values (i) at country level and (ii) at regional level.</w:t>
            </w:r>
          </w:p>
        </w:tc>
        <w:tc>
          <w:tcPr>
            <w:tcW w:w="5310" w:type="dxa"/>
            <w:shd w:val="clear" w:color="auto" w:fill="E7E6E6"/>
            <w:tcMar>
              <w:top w:w="0" w:type="dxa"/>
              <w:left w:w="45" w:type="dxa"/>
              <w:bottom w:w="0" w:type="dxa"/>
              <w:right w:w="45" w:type="dxa"/>
            </w:tcMar>
          </w:tcPr>
          <w:p w:rsidR="003D6B14" w:rsidRDefault="002462A6">
            <w:pPr>
              <w:spacing w:after="0" w:line="240" w:lineRule="auto"/>
            </w:pPr>
            <w:r>
              <w:t>Treatment of missing values</w:t>
            </w:r>
            <w:r>
              <w:br/>
              <w:t xml:space="preserve">* At country level: </w:t>
            </w:r>
            <w:r>
              <w:br/>
              <w:t xml:space="preserve">* At regional or global levels: </w:t>
            </w: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4.g. Regional aggregations</w:t>
            </w:r>
          </w:p>
        </w:tc>
        <w:tc>
          <w:tcPr>
            <w:tcW w:w="5310" w:type="dxa"/>
            <w:shd w:val="clear" w:color="auto" w:fill="E7E6E6"/>
            <w:tcMar>
              <w:top w:w="0" w:type="dxa"/>
              <w:left w:w="45" w:type="dxa"/>
              <w:bottom w:w="0" w:type="dxa"/>
              <w:right w:w="45" w:type="dxa"/>
            </w:tcMar>
          </w:tcPr>
          <w:p w:rsidR="003D6B14" w:rsidRDefault="002462A6">
            <w:pPr>
              <w:spacing w:after="0" w:line="240" w:lineRule="auto"/>
            </w:pPr>
            <w:r>
              <w:t>Regional aggregates</w:t>
            </w: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4.h. Methods and guidance available to countries for the compilation of the data at the national level</w:t>
            </w:r>
          </w:p>
        </w:tc>
        <w:tc>
          <w:tcPr>
            <w:tcW w:w="5310" w:type="dxa"/>
            <w:shd w:val="clear" w:color="auto" w:fill="E7E6E6"/>
            <w:tcMar>
              <w:top w:w="0" w:type="dxa"/>
              <w:left w:w="45" w:type="dxa"/>
              <w:bottom w:w="0" w:type="dxa"/>
              <w:right w:w="45" w:type="dxa"/>
            </w:tcMar>
          </w:tcPr>
          <w:p w:rsidR="003D6B14" w:rsidRDefault="002462A6">
            <w:pPr>
              <w:spacing w:after="0" w:line="240" w:lineRule="auto"/>
            </w:pPr>
            <w:r>
              <w:t>Methods and guidance available to countries for the compilation of the data at the national level</w:t>
            </w: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4.i Quality management</w:t>
            </w:r>
          </w:p>
        </w:tc>
        <w:tc>
          <w:tcPr>
            <w:tcW w:w="5310" w:type="dxa"/>
            <w:shd w:val="clear" w:color="auto" w:fill="E7E6E6"/>
            <w:tcMar>
              <w:top w:w="0" w:type="dxa"/>
              <w:left w:w="45" w:type="dxa"/>
              <w:bottom w:w="0" w:type="dxa"/>
              <w:right w:w="45" w:type="dxa"/>
            </w:tcMar>
          </w:tcPr>
          <w:p w:rsidR="003D6B14" w:rsidRDefault="003D6B14">
            <w:pPr>
              <w:spacing w:after="0" w:line="240" w:lineRule="auto"/>
            </w:pP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4.j Quality assurance</w:t>
            </w:r>
          </w:p>
        </w:tc>
        <w:tc>
          <w:tcPr>
            <w:tcW w:w="5310" w:type="dxa"/>
            <w:shd w:val="clear" w:color="auto" w:fill="E7E6E6"/>
            <w:tcMar>
              <w:top w:w="0" w:type="dxa"/>
              <w:left w:w="45" w:type="dxa"/>
              <w:bottom w:w="0" w:type="dxa"/>
              <w:right w:w="45" w:type="dxa"/>
            </w:tcMar>
          </w:tcPr>
          <w:p w:rsidR="003D6B14" w:rsidRDefault="002462A6">
            <w:pPr>
              <w:spacing w:after="0" w:line="240" w:lineRule="auto"/>
            </w:pPr>
            <w:r>
              <w:t>Quality assurance</w:t>
            </w: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4.k Quality assessment</w:t>
            </w:r>
          </w:p>
        </w:tc>
        <w:tc>
          <w:tcPr>
            <w:tcW w:w="5310" w:type="dxa"/>
            <w:shd w:val="clear" w:color="auto" w:fill="E7E6E6"/>
            <w:tcMar>
              <w:top w:w="0" w:type="dxa"/>
              <w:left w:w="45" w:type="dxa"/>
              <w:bottom w:w="0" w:type="dxa"/>
              <w:right w:w="45" w:type="dxa"/>
            </w:tcMar>
          </w:tcPr>
          <w:p w:rsidR="003D6B14" w:rsidRDefault="003D6B14">
            <w:pPr>
              <w:spacing w:after="0" w:line="240" w:lineRule="auto"/>
            </w:pP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5. Data availability and disaggregation</w:t>
            </w:r>
          </w:p>
        </w:tc>
        <w:tc>
          <w:tcPr>
            <w:tcW w:w="5310" w:type="dxa"/>
            <w:shd w:val="clear" w:color="auto" w:fill="E7E6E6"/>
            <w:tcMar>
              <w:top w:w="0" w:type="dxa"/>
              <w:left w:w="45" w:type="dxa"/>
              <w:bottom w:w="0" w:type="dxa"/>
              <w:right w:w="45" w:type="dxa"/>
            </w:tcMar>
          </w:tcPr>
          <w:p w:rsidR="003D6B14" w:rsidRDefault="002462A6">
            <w:pPr>
              <w:spacing w:after="0" w:line="240" w:lineRule="auto"/>
            </w:pPr>
            <w:r>
              <w:t>Data availability</w:t>
            </w:r>
            <w:r>
              <w:br/>
              <w:t>Disaggregation</w:t>
            </w: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6. Comparability / Deviation from international standards</w:t>
            </w:r>
          </w:p>
        </w:tc>
        <w:tc>
          <w:tcPr>
            <w:tcW w:w="5310" w:type="dxa"/>
            <w:shd w:val="clear" w:color="auto" w:fill="E7E6E6"/>
            <w:tcMar>
              <w:top w:w="0" w:type="dxa"/>
              <w:left w:w="45" w:type="dxa"/>
              <w:bottom w:w="0" w:type="dxa"/>
              <w:right w:w="45" w:type="dxa"/>
            </w:tcMar>
          </w:tcPr>
          <w:p w:rsidR="003D6B14" w:rsidRDefault="002462A6">
            <w:pPr>
              <w:spacing w:after="0" w:line="240" w:lineRule="auto"/>
            </w:pPr>
            <w:r>
              <w:t>Sources of discrepancies</w:t>
            </w:r>
          </w:p>
        </w:tc>
      </w:tr>
      <w:tr w:rsidR="003D6B14">
        <w:trPr>
          <w:trHeight w:val="300"/>
        </w:trPr>
        <w:tc>
          <w:tcPr>
            <w:tcW w:w="3232" w:type="dxa"/>
            <w:shd w:val="clear" w:color="auto" w:fill="E7E6E6"/>
            <w:tcMar>
              <w:top w:w="0" w:type="dxa"/>
              <w:left w:w="45" w:type="dxa"/>
              <w:bottom w:w="0" w:type="dxa"/>
              <w:right w:w="45" w:type="dxa"/>
            </w:tcMar>
          </w:tcPr>
          <w:p w:rsidR="003D6B14" w:rsidRDefault="002462A6">
            <w:pPr>
              <w:spacing w:after="0" w:line="240" w:lineRule="auto"/>
            </w:pPr>
            <w:r>
              <w:t>7. References and Documentation</w:t>
            </w:r>
          </w:p>
        </w:tc>
        <w:tc>
          <w:tcPr>
            <w:tcW w:w="5310" w:type="dxa"/>
            <w:shd w:val="clear" w:color="auto" w:fill="E7E6E6"/>
            <w:tcMar>
              <w:top w:w="0" w:type="dxa"/>
              <w:left w:w="45" w:type="dxa"/>
              <w:bottom w:w="0" w:type="dxa"/>
              <w:right w:w="45" w:type="dxa"/>
            </w:tcMar>
          </w:tcPr>
          <w:p w:rsidR="003D6B14" w:rsidRDefault="002462A6">
            <w:pPr>
              <w:spacing w:after="0" w:line="240" w:lineRule="auto"/>
            </w:pPr>
            <w:r>
              <w:t>References</w:t>
            </w:r>
            <w:r>
              <w:br/>
              <w:t>URL</w:t>
            </w:r>
            <w:r>
              <w:br/>
              <w:t>References</w:t>
            </w:r>
          </w:p>
        </w:tc>
      </w:tr>
    </w:tbl>
    <w:p w:rsidR="003D6B14" w:rsidRDefault="003D6B14">
      <w:pPr>
        <w:pBdr>
          <w:top w:val="nil"/>
          <w:left w:val="nil"/>
          <w:bottom w:val="nil"/>
          <w:right w:val="nil"/>
          <w:between w:val="nil"/>
        </w:pBdr>
        <w:shd w:val="clear" w:color="auto" w:fill="FFFFFF"/>
        <w:spacing w:after="0" w:line="276" w:lineRule="auto"/>
        <w:rPr>
          <w:color w:val="4A4A4A"/>
          <w:sz w:val="21"/>
          <w:szCs w:val="21"/>
        </w:rPr>
      </w:pPr>
    </w:p>
    <w:p w:rsidR="003D6B14" w:rsidRDefault="002462A6">
      <w:pPr>
        <w:pBdr>
          <w:top w:val="nil"/>
          <w:left w:val="nil"/>
          <w:bottom w:val="nil"/>
          <w:right w:val="nil"/>
          <w:between w:val="nil"/>
        </w:pBdr>
        <w:shd w:val="clear" w:color="auto" w:fill="F5F5F5"/>
        <w:spacing w:after="0" w:line="276" w:lineRule="auto"/>
        <w:rPr>
          <w:color w:val="1C75BC"/>
          <w:sz w:val="28"/>
          <w:szCs w:val="28"/>
        </w:rPr>
      </w:pPr>
      <w:bookmarkStart w:id="16" w:name="_1ksv4uv" w:colFirst="0" w:colLast="0"/>
      <w:bookmarkEnd w:id="16"/>
      <w:r>
        <w:rPr>
          <w:color w:val="1C75BC"/>
          <w:sz w:val="28"/>
          <w:szCs w:val="28"/>
        </w:rPr>
        <w:t>C. Mapping of IAEG-SDG File Format to SDMX Detailed Concepts</w:t>
      </w:r>
    </w:p>
    <w:p w:rsidR="003D6B14" w:rsidRDefault="002462A6">
      <w:pPr>
        <w:pBdr>
          <w:top w:val="nil"/>
          <w:left w:val="nil"/>
          <w:bottom w:val="nil"/>
          <w:right w:val="nil"/>
          <w:between w:val="nil"/>
        </w:pBdr>
        <w:shd w:val="clear" w:color="auto" w:fill="FFFFFF"/>
        <w:spacing w:after="0" w:line="276" w:lineRule="auto"/>
        <w:rPr>
          <w:color w:val="4A4A4A"/>
          <w:sz w:val="21"/>
          <w:szCs w:val="21"/>
        </w:rPr>
      </w:pPr>
      <w:r>
        <w:rPr>
          <w:color w:val="4A4A4A"/>
          <w:sz w:val="21"/>
          <w:szCs w:val="21"/>
        </w:rPr>
        <w:t>This is an aid to format metadata previously submitted in the IAEG-SDG file format into the format of the SDMX metadata concepts. In some cases, these headers and sections of the IAEG-SDG format do not correspond perfectly to the SDMX concepts. Consult the SDMX metadata concept definitions.</w:t>
      </w:r>
    </w:p>
    <w:p w:rsidR="003D6B14" w:rsidRDefault="003D6B14">
      <w:pPr>
        <w:pBdr>
          <w:top w:val="nil"/>
          <w:left w:val="nil"/>
          <w:bottom w:val="nil"/>
          <w:right w:val="nil"/>
          <w:between w:val="nil"/>
        </w:pBdr>
        <w:shd w:val="clear" w:color="auto" w:fill="FFFFFF"/>
        <w:spacing w:after="0" w:line="276" w:lineRule="auto"/>
        <w:rPr>
          <w:color w:val="4A4A4A"/>
          <w:sz w:val="21"/>
          <w:szCs w:val="21"/>
        </w:rPr>
      </w:pPr>
    </w:p>
    <w:tbl>
      <w:tblPr>
        <w:tblStyle w:val="a8"/>
        <w:tblW w:w="8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4410"/>
      </w:tblGrid>
      <w:tr w:rsidR="003D6B14">
        <w:trPr>
          <w:trHeight w:val="300"/>
        </w:trPr>
        <w:tc>
          <w:tcPr>
            <w:tcW w:w="4140" w:type="dxa"/>
            <w:shd w:val="clear" w:color="auto" w:fill="BDD7EE"/>
            <w:tcMar>
              <w:top w:w="0" w:type="dxa"/>
              <w:left w:w="45" w:type="dxa"/>
              <w:bottom w:w="0" w:type="dxa"/>
              <w:right w:w="45" w:type="dxa"/>
            </w:tcMar>
          </w:tcPr>
          <w:p w:rsidR="003D6B14" w:rsidRDefault="002462A6">
            <w:pPr>
              <w:spacing w:after="0" w:line="240" w:lineRule="auto"/>
              <w:rPr>
                <w:color w:val="000000"/>
              </w:rPr>
            </w:pPr>
            <w:r>
              <w:rPr>
                <w:color w:val="000000"/>
              </w:rPr>
              <w:t>IAEG-SDG Headers and Subheaders</w:t>
            </w:r>
          </w:p>
        </w:tc>
        <w:tc>
          <w:tcPr>
            <w:tcW w:w="4410" w:type="dxa"/>
            <w:shd w:val="clear" w:color="auto" w:fill="BDD7EE"/>
          </w:tcPr>
          <w:p w:rsidR="003D6B14" w:rsidRDefault="002462A6">
            <w:pPr>
              <w:spacing w:after="0" w:line="240" w:lineRule="auto"/>
              <w:rPr>
                <w:color w:val="000000"/>
              </w:rPr>
            </w:pPr>
            <w:r>
              <w:rPr>
                <w:color w:val="000000"/>
              </w:rPr>
              <w:t>Detailed Metadata Concept Name</w:t>
            </w:r>
          </w:p>
        </w:tc>
      </w:tr>
      <w:tr w:rsidR="003D6B14">
        <w:trPr>
          <w:trHeight w:val="300"/>
        </w:trPr>
        <w:tc>
          <w:tcPr>
            <w:tcW w:w="4140" w:type="dxa"/>
            <w:shd w:val="clear" w:color="auto" w:fill="E7E6E6"/>
            <w:tcMar>
              <w:top w:w="0" w:type="dxa"/>
              <w:left w:w="45" w:type="dxa"/>
              <w:bottom w:w="0" w:type="dxa"/>
              <w:right w:w="45" w:type="dxa"/>
            </w:tcMar>
          </w:tcPr>
          <w:p w:rsidR="003D6B14" w:rsidRDefault="002462A6">
            <w:pPr>
              <w:spacing w:after="0" w:line="240" w:lineRule="auto"/>
              <w:rPr>
                <w:color w:val="000000"/>
              </w:rPr>
            </w:pPr>
            <w:r>
              <w:rPr>
                <w:color w:val="000000"/>
              </w:rPr>
              <w:t>Last updated: [DATE]</w:t>
            </w:r>
          </w:p>
        </w:tc>
        <w:tc>
          <w:tcPr>
            <w:tcW w:w="4410" w:type="dxa"/>
            <w:shd w:val="clear" w:color="auto" w:fill="E7E6E6"/>
          </w:tcPr>
          <w:p w:rsidR="003D6B14" w:rsidRDefault="002462A6">
            <w:pPr>
              <w:spacing w:after="0" w:line="240" w:lineRule="auto"/>
              <w:rPr>
                <w:color w:val="000000"/>
              </w:rPr>
            </w:pPr>
            <w:r>
              <w:rPr>
                <w:color w:val="000000"/>
              </w:rPr>
              <w:t>0.e. Metadata update</w:t>
            </w:r>
          </w:p>
        </w:tc>
      </w:tr>
      <w:tr w:rsidR="003D6B14">
        <w:trPr>
          <w:trHeight w:val="300"/>
        </w:trPr>
        <w:tc>
          <w:tcPr>
            <w:tcW w:w="4140" w:type="dxa"/>
            <w:shd w:val="clear" w:color="auto" w:fill="E7E6E6"/>
            <w:tcMar>
              <w:top w:w="0" w:type="dxa"/>
              <w:left w:w="45" w:type="dxa"/>
              <w:bottom w:w="0" w:type="dxa"/>
              <w:right w:w="45" w:type="dxa"/>
            </w:tcMar>
          </w:tcPr>
          <w:p w:rsidR="003D6B14" w:rsidRDefault="002462A6">
            <w:pPr>
              <w:spacing w:after="0" w:line="240" w:lineRule="auto"/>
              <w:rPr>
                <w:color w:val="000000"/>
              </w:rPr>
            </w:pPr>
            <w:r>
              <w:rPr>
                <w:color w:val="000000"/>
              </w:rPr>
              <w:t xml:space="preserve">Goal </w:t>
            </w:r>
          </w:p>
        </w:tc>
        <w:tc>
          <w:tcPr>
            <w:tcW w:w="4410" w:type="dxa"/>
            <w:shd w:val="clear" w:color="auto" w:fill="E7E6E6"/>
          </w:tcPr>
          <w:p w:rsidR="003D6B14" w:rsidRDefault="002462A6">
            <w:pPr>
              <w:spacing w:after="0" w:line="240" w:lineRule="auto"/>
              <w:rPr>
                <w:color w:val="000000"/>
              </w:rPr>
            </w:pPr>
            <w:r>
              <w:rPr>
                <w:color w:val="000000"/>
              </w:rPr>
              <w:t>0.a. Goal</w:t>
            </w:r>
          </w:p>
        </w:tc>
      </w:tr>
      <w:tr w:rsidR="003D6B14">
        <w:trPr>
          <w:trHeight w:val="300"/>
        </w:trPr>
        <w:tc>
          <w:tcPr>
            <w:tcW w:w="4140" w:type="dxa"/>
            <w:shd w:val="clear" w:color="auto" w:fill="E7E6E6"/>
            <w:tcMar>
              <w:top w:w="0" w:type="dxa"/>
              <w:left w:w="45" w:type="dxa"/>
              <w:bottom w:w="0" w:type="dxa"/>
              <w:right w:w="45" w:type="dxa"/>
            </w:tcMar>
          </w:tcPr>
          <w:p w:rsidR="003D6B14" w:rsidRDefault="002462A6">
            <w:pPr>
              <w:spacing w:after="0" w:line="240" w:lineRule="auto"/>
              <w:rPr>
                <w:color w:val="000000"/>
              </w:rPr>
            </w:pPr>
            <w:r>
              <w:rPr>
                <w:color w:val="000000"/>
              </w:rPr>
              <w:t xml:space="preserve">Target </w:t>
            </w:r>
          </w:p>
        </w:tc>
        <w:tc>
          <w:tcPr>
            <w:tcW w:w="4410" w:type="dxa"/>
            <w:shd w:val="clear" w:color="auto" w:fill="E7E6E6"/>
          </w:tcPr>
          <w:p w:rsidR="003D6B14" w:rsidRDefault="002462A6">
            <w:pPr>
              <w:spacing w:after="0" w:line="240" w:lineRule="auto"/>
              <w:rPr>
                <w:color w:val="000000"/>
              </w:rPr>
            </w:pPr>
            <w:r>
              <w:rPr>
                <w:color w:val="000000"/>
              </w:rPr>
              <w:t>0.b. Target</w:t>
            </w:r>
          </w:p>
        </w:tc>
      </w:tr>
      <w:tr w:rsidR="003D6B14">
        <w:trPr>
          <w:trHeight w:val="300"/>
        </w:trPr>
        <w:tc>
          <w:tcPr>
            <w:tcW w:w="4140" w:type="dxa"/>
            <w:shd w:val="clear" w:color="auto" w:fill="E7E6E6"/>
            <w:tcMar>
              <w:top w:w="0" w:type="dxa"/>
              <w:left w:w="45" w:type="dxa"/>
              <w:bottom w:w="0" w:type="dxa"/>
              <w:right w:w="45" w:type="dxa"/>
            </w:tcMar>
          </w:tcPr>
          <w:p w:rsidR="003D6B14" w:rsidRDefault="002462A6">
            <w:pPr>
              <w:spacing w:after="0" w:line="240" w:lineRule="auto"/>
              <w:rPr>
                <w:color w:val="000000"/>
              </w:rPr>
            </w:pPr>
            <w:r>
              <w:rPr>
                <w:color w:val="000000"/>
              </w:rPr>
              <w:t>Indicator</w:t>
            </w:r>
          </w:p>
        </w:tc>
        <w:tc>
          <w:tcPr>
            <w:tcW w:w="4410" w:type="dxa"/>
            <w:shd w:val="clear" w:color="auto" w:fill="E7E6E6"/>
          </w:tcPr>
          <w:p w:rsidR="003D6B14" w:rsidRDefault="002462A6">
            <w:pPr>
              <w:spacing w:after="0" w:line="240" w:lineRule="auto"/>
              <w:rPr>
                <w:color w:val="000000"/>
              </w:rPr>
            </w:pPr>
            <w:r>
              <w:rPr>
                <w:color w:val="000000"/>
              </w:rPr>
              <w:t>0.c. Indicator</w:t>
            </w:r>
          </w:p>
        </w:tc>
      </w:tr>
      <w:tr w:rsidR="003D6B14">
        <w:trPr>
          <w:trHeight w:val="300"/>
        </w:trPr>
        <w:tc>
          <w:tcPr>
            <w:tcW w:w="4140" w:type="dxa"/>
            <w:shd w:val="clear" w:color="auto" w:fill="E7E6E6"/>
            <w:tcMar>
              <w:top w:w="0" w:type="dxa"/>
              <w:left w:w="45" w:type="dxa"/>
              <w:bottom w:w="0" w:type="dxa"/>
              <w:right w:w="45" w:type="dxa"/>
            </w:tcMar>
          </w:tcPr>
          <w:p w:rsidR="003D6B14" w:rsidRDefault="003D6B14">
            <w:pPr>
              <w:spacing w:after="0" w:line="240" w:lineRule="auto"/>
              <w:rPr>
                <w:color w:val="000000"/>
              </w:rPr>
            </w:pPr>
          </w:p>
        </w:tc>
        <w:tc>
          <w:tcPr>
            <w:tcW w:w="4410" w:type="dxa"/>
            <w:shd w:val="clear" w:color="auto" w:fill="E7E6E6"/>
          </w:tcPr>
          <w:p w:rsidR="003D6B14" w:rsidRDefault="002462A6">
            <w:pPr>
              <w:spacing w:after="0" w:line="240" w:lineRule="auto"/>
              <w:rPr>
                <w:color w:val="000000"/>
              </w:rPr>
            </w:pPr>
            <w:r>
              <w:rPr>
                <w:color w:val="000000"/>
              </w:rPr>
              <w:t>0.d. Series</w:t>
            </w:r>
          </w:p>
        </w:tc>
      </w:tr>
      <w:tr w:rsidR="003D6B14">
        <w:trPr>
          <w:trHeight w:val="300"/>
        </w:trPr>
        <w:tc>
          <w:tcPr>
            <w:tcW w:w="4140" w:type="dxa"/>
            <w:shd w:val="clear" w:color="auto" w:fill="E7E6E6"/>
            <w:tcMar>
              <w:top w:w="0" w:type="dxa"/>
              <w:left w:w="45" w:type="dxa"/>
              <w:bottom w:w="0" w:type="dxa"/>
              <w:right w:w="45" w:type="dxa"/>
            </w:tcMar>
          </w:tcPr>
          <w:p w:rsidR="003D6B14" w:rsidRDefault="002462A6">
            <w:pPr>
              <w:spacing w:after="0" w:line="240" w:lineRule="auto"/>
              <w:rPr>
                <w:color w:val="000000"/>
              </w:rPr>
            </w:pPr>
            <w:r>
              <w:rPr>
                <w:color w:val="000000"/>
              </w:rPr>
              <w:t>Institutional information</w:t>
            </w:r>
            <w:r>
              <w:rPr>
                <w:color w:val="000000"/>
              </w:rPr>
              <w:br/>
              <w:t>Organization(s)</w:t>
            </w:r>
          </w:p>
        </w:tc>
        <w:tc>
          <w:tcPr>
            <w:tcW w:w="4410" w:type="dxa"/>
            <w:shd w:val="clear" w:color="auto" w:fill="E7E6E6"/>
          </w:tcPr>
          <w:p w:rsidR="003D6B14" w:rsidRDefault="002462A6">
            <w:pPr>
              <w:spacing w:after="0" w:line="240" w:lineRule="auto"/>
              <w:rPr>
                <w:color w:val="000000"/>
              </w:rPr>
            </w:pPr>
            <w:r>
              <w:rPr>
                <w:color w:val="000000"/>
              </w:rPr>
              <w:t>0.g. International organisations(s) responsible for global monitoring</w:t>
            </w:r>
          </w:p>
        </w:tc>
      </w:tr>
      <w:tr w:rsidR="003D6B14">
        <w:trPr>
          <w:trHeight w:val="300"/>
        </w:trPr>
        <w:tc>
          <w:tcPr>
            <w:tcW w:w="4140" w:type="dxa"/>
            <w:shd w:val="clear" w:color="auto" w:fill="E7E6E6"/>
            <w:tcMar>
              <w:top w:w="0" w:type="dxa"/>
              <w:left w:w="45" w:type="dxa"/>
              <w:bottom w:w="0" w:type="dxa"/>
              <w:right w:w="45" w:type="dxa"/>
            </w:tcMar>
          </w:tcPr>
          <w:p w:rsidR="003D6B14" w:rsidRDefault="003D6B14">
            <w:pPr>
              <w:spacing w:after="0" w:line="240" w:lineRule="auto"/>
              <w:rPr>
                <w:color w:val="000000"/>
              </w:rPr>
            </w:pPr>
          </w:p>
        </w:tc>
        <w:tc>
          <w:tcPr>
            <w:tcW w:w="4410" w:type="dxa"/>
            <w:shd w:val="clear" w:color="auto" w:fill="E7E6E6"/>
          </w:tcPr>
          <w:p w:rsidR="003D6B14" w:rsidRDefault="002462A6">
            <w:pPr>
              <w:spacing w:after="0" w:line="240" w:lineRule="auto"/>
              <w:rPr>
                <w:color w:val="000000"/>
              </w:rPr>
            </w:pPr>
            <w:r>
              <w:rPr>
                <w:color w:val="000000"/>
              </w:rPr>
              <w:t>1.a. Organisation</w:t>
            </w:r>
          </w:p>
        </w:tc>
      </w:tr>
      <w:tr w:rsidR="003D6B14">
        <w:trPr>
          <w:trHeight w:val="300"/>
        </w:trPr>
        <w:tc>
          <w:tcPr>
            <w:tcW w:w="4140" w:type="dxa"/>
            <w:shd w:val="clear" w:color="auto" w:fill="E7E6E6"/>
            <w:tcMar>
              <w:top w:w="0" w:type="dxa"/>
              <w:left w:w="45" w:type="dxa"/>
              <w:bottom w:w="0" w:type="dxa"/>
              <w:right w:w="45" w:type="dxa"/>
            </w:tcMar>
          </w:tcPr>
          <w:p w:rsidR="003D6B14" w:rsidRDefault="003D6B14">
            <w:pPr>
              <w:spacing w:after="0" w:line="240" w:lineRule="auto"/>
              <w:rPr>
                <w:color w:val="000000"/>
              </w:rPr>
            </w:pPr>
          </w:p>
        </w:tc>
        <w:tc>
          <w:tcPr>
            <w:tcW w:w="4410" w:type="dxa"/>
            <w:shd w:val="clear" w:color="auto" w:fill="E7E6E6"/>
          </w:tcPr>
          <w:p w:rsidR="003D6B14" w:rsidRDefault="002462A6">
            <w:pPr>
              <w:spacing w:after="0" w:line="240" w:lineRule="auto"/>
              <w:rPr>
                <w:color w:val="000000"/>
              </w:rPr>
            </w:pPr>
            <w:r>
              <w:rPr>
                <w:color w:val="000000"/>
              </w:rPr>
              <w:t>1.b. Contact person(s)</w:t>
            </w:r>
          </w:p>
        </w:tc>
      </w:tr>
      <w:tr w:rsidR="003D6B14">
        <w:trPr>
          <w:trHeight w:val="300"/>
        </w:trPr>
        <w:tc>
          <w:tcPr>
            <w:tcW w:w="4140" w:type="dxa"/>
            <w:shd w:val="clear" w:color="auto" w:fill="E7E6E6"/>
            <w:tcMar>
              <w:top w:w="0" w:type="dxa"/>
              <w:left w:w="45" w:type="dxa"/>
              <w:bottom w:w="0" w:type="dxa"/>
              <w:right w:w="45" w:type="dxa"/>
            </w:tcMar>
          </w:tcPr>
          <w:p w:rsidR="003D6B14" w:rsidRDefault="003D6B14">
            <w:pPr>
              <w:spacing w:after="0" w:line="240" w:lineRule="auto"/>
              <w:rPr>
                <w:color w:val="000000"/>
              </w:rPr>
            </w:pPr>
          </w:p>
        </w:tc>
        <w:tc>
          <w:tcPr>
            <w:tcW w:w="4410" w:type="dxa"/>
            <w:shd w:val="clear" w:color="auto" w:fill="E7E6E6"/>
          </w:tcPr>
          <w:p w:rsidR="003D6B14" w:rsidRDefault="002462A6">
            <w:pPr>
              <w:spacing w:after="0" w:line="240" w:lineRule="auto"/>
              <w:rPr>
                <w:color w:val="000000"/>
              </w:rPr>
            </w:pPr>
            <w:r>
              <w:rPr>
                <w:color w:val="000000"/>
              </w:rPr>
              <w:t>1.c. Contact organisation unit</w:t>
            </w:r>
          </w:p>
        </w:tc>
      </w:tr>
      <w:tr w:rsidR="003D6B14">
        <w:trPr>
          <w:trHeight w:val="300"/>
        </w:trPr>
        <w:tc>
          <w:tcPr>
            <w:tcW w:w="4140" w:type="dxa"/>
            <w:shd w:val="clear" w:color="auto" w:fill="E7E6E6"/>
            <w:tcMar>
              <w:top w:w="0" w:type="dxa"/>
              <w:left w:w="45" w:type="dxa"/>
              <w:bottom w:w="0" w:type="dxa"/>
              <w:right w:w="45" w:type="dxa"/>
            </w:tcMar>
          </w:tcPr>
          <w:p w:rsidR="003D6B14" w:rsidRDefault="003D6B14">
            <w:pPr>
              <w:spacing w:after="0" w:line="240" w:lineRule="auto"/>
              <w:rPr>
                <w:color w:val="000000"/>
              </w:rPr>
            </w:pPr>
          </w:p>
        </w:tc>
        <w:tc>
          <w:tcPr>
            <w:tcW w:w="4410" w:type="dxa"/>
            <w:shd w:val="clear" w:color="auto" w:fill="E7E6E6"/>
          </w:tcPr>
          <w:p w:rsidR="003D6B14" w:rsidRDefault="002462A6">
            <w:pPr>
              <w:spacing w:after="0" w:line="240" w:lineRule="auto"/>
              <w:rPr>
                <w:color w:val="000000"/>
              </w:rPr>
            </w:pPr>
            <w:r>
              <w:rPr>
                <w:color w:val="000000"/>
              </w:rPr>
              <w:t>1.d. Contact person function</w:t>
            </w:r>
          </w:p>
        </w:tc>
      </w:tr>
      <w:tr w:rsidR="003D6B14">
        <w:trPr>
          <w:trHeight w:val="300"/>
        </w:trPr>
        <w:tc>
          <w:tcPr>
            <w:tcW w:w="4140" w:type="dxa"/>
            <w:shd w:val="clear" w:color="auto" w:fill="E7E6E6"/>
            <w:tcMar>
              <w:top w:w="0" w:type="dxa"/>
              <w:left w:w="45" w:type="dxa"/>
              <w:bottom w:w="0" w:type="dxa"/>
              <w:right w:w="45" w:type="dxa"/>
            </w:tcMar>
          </w:tcPr>
          <w:p w:rsidR="003D6B14" w:rsidRDefault="003D6B14">
            <w:pPr>
              <w:spacing w:after="0" w:line="240" w:lineRule="auto"/>
              <w:rPr>
                <w:color w:val="000000"/>
              </w:rPr>
            </w:pPr>
          </w:p>
        </w:tc>
        <w:tc>
          <w:tcPr>
            <w:tcW w:w="4410" w:type="dxa"/>
            <w:shd w:val="clear" w:color="auto" w:fill="E7E6E6"/>
          </w:tcPr>
          <w:p w:rsidR="003D6B14" w:rsidRDefault="002462A6">
            <w:pPr>
              <w:spacing w:after="0" w:line="240" w:lineRule="auto"/>
              <w:rPr>
                <w:color w:val="000000"/>
              </w:rPr>
            </w:pPr>
            <w:r>
              <w:rPr>
                <w:color w:val="000000"/>
              </w:rPr>
              <w:t>1.e. Contact phone</w:t>
            </w:r>
          </w:p>
        </w:tc>
      </w:tr>
      <w:tr w:rsidR="003D6B14">
        <w:trPr>
          <w:trHeight w:val="300"/>
        </w:trPr>
        <w:tc>
          <w:tcPr>
            <w:tcW w:w="4140" w:type="dxa"/>
            <w:shd w:val="clear" w:color="auto" w:fill="E7E6E6"/>
            <w:tcMar>
              <w:top w:w="0" w:type="dxa"/>
              <w:left w:w="45" w:type="dxa"/>
              <w:bottom w:w="0" w:type="dxa"/>
              <w:right w:w="45" w:type="dxa"/>
            </w:tcMar>
          </w:tcPr>
          <w:p w:rsidR="003D6B14" w:rsidRDefault="003D6B14">
            <w:pPr>
              <w:spacing w:after="0" w:line="240" w:lineRule="auto"/>
              <w:rPr>
                <w:color w:val="000000"/>
              </w:rPr>
            </w:pPr>
          </w:p>
        </w:tc>
        <w:tc>
          <w:tcPr>
            <w:tcW w:w="4410" w:type="dxa"/>
            <w:shd w:val="clear" w:color="auto" w:fill="E7E6E6"/>
          </w:tcPr>
          <w:p w:rsidR="003D6B14" w:rsidRDefault="002462A6">
            <w:pPr>
              <w:spacing w:after="0" w:line="240" w:lineRule="auto"/>
              <w:rPr>
                <w:color w:val="000000"/>
              </w:rPr>
            </w:pPr>
            <w:r>
              <w:rPr>
                <w:color w:val="000000"/>
              </w:rPr>
              <w:t>1.f. Contact mail</w:t>
            </w:r>
          </w:p>
        </w:tc>
      </w:tr>
      <w:tr w:rsidR="003D6B14">
        <w:trPr>
          <w:trHeight w:val="300"/>
        </w:trPr>
        <w:tc>
          <w:tcPr>
            <w:tcW w:w="4140" w:type="dxa"/>
            <w:shd w:val="clear" w:color="auto" w:fill="E7E6E6"/>
            <w:tcMar>
              <w:top w:w="0" w:type="dxa"/>
              <w:left w:w="45" w:type="dxa"/>
              <w:bottom w:w="0" w:type="dxa"/>
              <w:right w:w="45" w:type="dxa"/>
            </w:tcMar>
          </w:tcPr>
          <w:p w:rsidR="003D6B14" w:rsidRDefault="003D6B14">
            <w:pPr>
              <w:spacing w:after="0" w:line="240" w:lineRule="auto"/>
              <w:rPr>
                <w:color w:val="000000"/>
              </w:rPr>
            </w:pPr>
          </w:p>
        </w:tc>
        <w:tc>
          <w:tcPr>
            <w:tcW w:w="4410" w:type="dxa"/>
            <w:shd w:val="clear" w:color="auto" w:fill="E7E6E6"/>
          </w:tcPr>
          <w:p w:rsidR="003D6B14" w:rsidRDefault="002462A6">
            <w:pPr>
              <w:spacing w:after="0" w:line="240" w:lineRule="auto"/>
              <w:rPr>
                <w:color w:val="000000"/>
              </w:rPr>
            </w:pPr>
            <w:r>
              <w:rPr>
                <w:color w:val="000000"/>
              </w:rPr>
              <w:t>1.g. Contact emails</w:t>
            </w:r>
          </w:p>
        </w:tc>
      </w:tr>
      <w:tr w:rsidR="003D6B14">
        <w:trPr>
          <w:trHeight w:val="302"/>
        </w:trPr>
        <w:tc>
          <w:tcPr>
            <w:tcW w:w="4140" w:type="dxa"/>
            <w:shd w:val="clear" w:color="auto" w:fill="E7E6E6"/>
            <w:tcMar>
              <w:top w:w="0" w:type="dxa"/>
              <w:left w:w="45" w:type="dxa"/>
              <w:bottom w:w="0" w:type="dxa"/>
              <w:right w:w="45" w:type="dxa"/>
            </w:tcMar>
          </w:tcPr>
          <w:p w:rsidR="003D6B14" w:rsidRDefault="002462A6">
            <w:pPr>
              <w:spacing w:after="0" w:line="240" w:lineRule="auto"/>
              <w:rPr>
                <w:color w:val="000000"/>
              </w:rPr>
            </w:pPr>
            <w:r>
              <w:rPr>
                <w:color w:val="000000"/>
              </w:rPr>
              <w:t>Concepts and definitions</w:t>
            </w:r>
            <w:r>
              <w:rPr>
                <w:color w:val="000000"/>
              </w:rPr>
              <w:br/>
              <w:t>Definition</w:t>
            </w:r>
            <w:r>
              <w:rPr>
                <w:color w:val="000000"/>
              </w:rPr>
              <w:br/>
              <w:t>Concepts</w:t>
            </w:r>
          </w:p>
        </w:tc>
        <w:tc>
          <w:tcPr>
            <w:tcW w:w="4410" w:type="dxa"/>
            <w:shd w:val="clear" w:color="auto" w:fill="E7E6E6"/>
          </w:tcPr>
          <w:p w:rsidR="003D6B14" w:rsidRDefault="002462A6">
            <w:pPr>
              <w:spacing w:after="0" w:line="240" w:lineRule="auto"/>
              <w:rPr>
                <w:color w:val="000000"/>
              </w:rPr>
            </w:pPr>
            <w:r>
              <w:rPr>
                <w:color w:val="000000"/>
              </w:rPr>
              <w:t>2.a. Definition and concepts</w:t>
            </w:r>
          </w:p>
        </w:tc>
      </w:tr>
      <w:tr w:rsidR="003D6B14">
        <w:trPr>
          <w:trHeight w:val="300"/>
        </w:trPr>
        <w:tc>
          <w:tcPr>
            <w:tcW w:w="4140" w:type="dxa"/>
            <w:shd w:val="clear" w:color="auto" w:fill="E7E6E6"/>
            <w:tcMar>
              <w:top w:w="0" w:type="dxa"/>
              <w:left w:w="45" w:type="dxa"/>
              <w:bottom w:w="0" w:type="dxa"/>
              <w:right w:w="45" w:type="dxa"/>
            </w:tcMar>
          </w:tcPr>
          <w:p w:rsidR="003D6B14" w:rsidRDefault="003D6B14">
            <w:pPr>
              <w:spacing w:after="0" w:line="240" w:lineRule="auto"/>
              <w:rPr>
                <w:color w:val="000000"/>
              </w:rPr>
            </w:pPr>
          </w:p>
        </w:tc>
        <w:tc>
          <w:tcPr>
            <w:tcW w:w="4410" w:type="dxa"/>
            <w:shd w:val="clear" w:color="auto" w:fill="E7E6E6"/>
          </w:tcPr>
          <w:p w:rsidR="003D6B14" w:rsidRDefault="002462A6">
            <w:pPr>
              <w:spacing w:after="0" w:line="240" w:lineRule="auto"/>
              <w:rPr>
                <w:color w:val="000000"/>
              </w:rPr>
            </w:pPr>
            <w:r>
              <w:rPr>
                <w:color w:val="000000"/>
              </w:rPr>
              <w:t>2.b. Unit of measure</w:t>
            </w:r>
          </w:p>
        </w:tc>
      </w:tr>
      <w:tr w:rsidR="003D6B14">
        <w:trPr>
          <w:trHeight w:val="300"/>
        </w:trPr>
        <w:tc>
          <w:tcPr>
            <w:tcW w:w="4140" w:type="dxa"/>
            <w:shd w:val="clear" w:color="auto" w:fill="E7E6E6"/>
            <w:tcMar>
              <w:top w:w="0" w:type="dxa"/>
              <w:left w:w="45" w:type="dxa"/>
              <w:bottom w:w="0" w:type="dxa"/>
              <w:right w:w="45" w:type="dxa"/>
            </w:tcMar>
          </w:tcPr>
          <w:p w:rsidR="003D6B14" w:rsidRDefault="003D6B14">
            <w:pPr>
              <w:spacing w:after="0" w:line="240" w:lineRule="auto"/>
              <w:rPr>
                <w:color w:val="000000"/>
              </w:rPr>
            </w:pPr>
          </w:p>
        </w:tc>
        <w:tc>
          <w:tcPr>
            <w:tcW w:w="4410" w:type="dxa"/>
            <w:shd w:val="clear" w:color="auto" w:fill="E7E6E6"/>
          </w:tcPr>
          <w:p w:rsidR="003D6B14" w:rsidRDefault="002462A6">
            <w:pPr>
              <w:spacing w:after="0" w:line="240" w:lineRule="auto"/>
              <w:rPr>
                <w:color w:val="000000"/>
              </w:rPr>
            </w:pPr>
            <w:r>
              <w:rPr>
                <w:color w:val="000000"/>
              </w:rPr>
              <w:t>2.c. Classifications</w:t>
            </w:r>
          </w:p>
        </w:tc>
      </w:tr>
      <w:tr w:rsidR="003D6B14">
        <w:trPr>
          <w:trHeight w:val="300"/>
        </w:trPr>
        <w:tc>
          <w:tcPr>
            <w:tcW w:w="4140" w:type="dxa"/>
            <w:shd w:val="clear" w:color="auto" w:fill="E7E6E6"/>
            <w:tcMar>
              <w:top w:w="0" w:type="dxa"/>
              <w:left w:w="45" w:type="dxa"/>
              <w:bottom w:w="0" w:type="dxa"/>
              <w:right w:w="45" w:type="dxa"/>
            </w:tcMar>
          </w:tcPr>
          <w:p w:rsidR="003D6B14" w:rsidRDefault="002462A6">
            <w:pPr>
              <w:spacing w:after="0" w:line="240" w:lineRule="auto"/>
              <w:rPr>
                <w:color w:val="000000"/>
              </w:rPr>
            </w:pPr>
            <w:r>
              <w:rPr>
                <w:color w:val="000000"/>
              </w:rPr>
              <w:t>Rationale</w:t>
            </w:r>
          </w:p>
        </w:tc>
        <w:tc>
          <w:tcPr>
            <w:tcW w:w="4410" w:type="dxa"/>
            <w:shd w:val="clear" w:color="auto" w:fill="E7E6E6"/>
          </w:tcPr>
          <w:p w:rsidR="003D6B14" w:rsidRDefault="002462A6">
            <w:pPr>
              <w:spacing w:after="0" w:line="240" w:lineRule="auto"/>
              <w:rPr>
                <w:color w:val="000000"/>
              </w:rPr>
            </w:pPr>
            <w:r>
              <w:rPr>
                <w:color w:val="000000"/>
              </w:rPr>
              <w:t>4.a. Rationale</w:t>
            </w:r>
          </w:p>
        </w:tc>
      </w:tr>
      <w:tr w:rsidR="003D6B14">
        <w:trPr>
          <w:trHeight w:val="300"/>
        </w:trPr>
        <w:tc>
          <w:tcPr>
            <w:tcW w:w="4140" w:type="dxa"/>
            <w:shd w:val="clear" w:color="auto" w:fill="E7E6E6"/>
            <w:tcMar>
              <w:top w:w="0" w:type="dxa"/>
              <w:left w:w="45" w:type="dxa"/>
              <w:bottom w:w="0" w:type="dxa"/>
              <w:right w:w="45" w:type="dxa"/>
            </w:tcMar>
          </w:tcPr>
          <w:p w:rsidR="003D6B14" w:rsidRDefault="002462A6">
            <w:pPr>
              <w:spacing w:after="0" w:line="240" w:lineRule="auto"/>
              <w:rPr>
                <w:color w:val="000000"/>
              </w:rPr>
            </w:pPr>
            <w:r>
              <w:rPr>
                <w:color w:val="000000"/>
              </w:rPr>
              <w:t>Comments and limitations</w:t>
            </w:r>
          </w:p>
        </w:tc>
        <w:tc>
          <w:tcPr>
            <w:tcW w:w="4410" w:type="dxa"/>
            <w:shd w:val="clear" w:color="auto" w:fill="E7E6E6"/>
          </w:tcPr>
          <w:p w:rsidR="003D6B14" w:rsidRDefault="002462A6">
            <w:pPr>
              <w:spacing w:after="0" w:line="240" w:lineRule="auto"/>
              <w:rPr>
                <w:color w:val="000000"/>
              </w:rPr>
            </w:pPr>
            <w:r>
              <w:rPr>
                <w:color w:val="000000"/>
              </w:rPr>
              <w:t>4.b. Comment and limitations</w:t>
            </w:r>
          </w:p>
        </w:tc>
      </w:tr>
      <w:tr w:rsidR="003D6B14">
        <w:trPr>
          <w:trHeight w:val="300"/>
        </w:trPr>
        <w:tc>
          <w:tcPr>
            <w:tcW w:w="4140" w:type="dxa"/>
            <w:shd w:val="clear" w:color="auto" w:fill="E7E6E6"/>
            <w:tcMar>
              <w:top w:w="0" w:type="dxa"/>
              <w:left w:w="45" w:type="dxa"/>
              <w:bottom w:w="0" w:type="dxa"/>
              <w:right w:w="45" w:type="dxa"/>
            </w:tcMar>
          </w:tcPr>
          <w:p w:rsidR="003D6B14" w:rsidRDefault="002462A6">
            <w:pPr>
              <w:spacing w:after="0" w:line="240" w:lineRule="auto"/>
              <w:rPr>
                <w:color w:val="000000"/>
              </w:rPr>
            </w:pPr>
            <w:r>
              <w:rPr>
                <w:color w:val="000000"/>
              </w:rPr>
              <w:t>Methodology</w:t>
            </w:r>
            <w:r>
              <w:rPr>
                <w:color w:val="000000"/>
              </w:rPr>
              <w:br/>
              <w:t>Computation method</w:t>
            </w:r>
          </w:p>
        </w:tc>
        <w:tc>
          <w:tcPr>
            <w:tcW w:w="4410" w:type="dxa"/>
            <w:shd w:val="clear" w:color="auto" w:fill="E7E6E6"/>
          </w:tcPr>
          <w:p w:rsidR="003D6B14" w:rsidRDefault="002462A6">
            <w:pPr>
              <w:spacing w:after="0" w:line="240" w:lineRule="auto"/>
              <w:rPr>
                <w:color w:val="000000"/>
              </w:rPr>
            </w:pPr>
            <w:r>
              <w:rPr>
                <w:color w:val="000000"/>
              </w:rPr>
              <w:t>4.c. Method of computation</w:t>
            </w:r>
          </w:p>
        </w:tc>
      </w:tr>
      <w:tr w:rsidR="003D6B14">
        <w:trPr>
          <w:trHeight w:val="300"/>
        </w:trPr>
        <w:tc>
          <w:tcPr>
            <w:tcW w:w="4140" w:type="dxa"/>
            <w:shd w:val="clear" w:color="auto" w:fill="E7E6E6"/>
            <w:tcMar>
              <w:top w:w="0" w:type="dxa"/>
              <w:left w:w="45" w:type="dxa"/>
              <w:bottom w:w="0" w:type="dxa"/>
              <w:right w:w="45" w:type="dxa"/>
            </w:tcMar>
          </w:tcPr>
          <w:p w:rsidR="003D6B14" w:rsidRDefault="003D6B14">
            <w:pPr>
              <w:spacing w:after="0" w:line="240" w:lineRule="auto"/>
              <w:rPr>
                <w:color w:val="000000"/>
              </w:rPr>
            </w:pPr>
          </w:p>
        </w:tc>
        <w:tc>
          <w:tcPr>
            <w:tcW w:w="4410" w:type="dxa"/>
            <w:shd w:val="clear" w:color="auto" w:fill="E7E6E6"/>
          </w:tcPr>
          <w:p w:rsidR="003D6B14" w:rsidRDefault="002462A6">
            <w:pPr>
              <w:spacing w:after="0" w:line="240" w:lineRule="auto"/>
              <w:rPr>
                <w:color w:val="000000"/>
              </w:rPr>
            </w:pPr>
            <w:r>
              <w:rPr>
                <w:color w:val="000000"/>
              </w:rPr>
              <w:t>4.d. Validation</w:t>
            </w:r>
          </w:p>
        </w:tc>
      </w:tr>
      <w:tr w:rsidR="003D6B14">
        <w:trPr>
          <w:trHeight w:val="300"/>
        </w:trPr>
        <w:tc>
          <w:tcPr>
            <w:tcW w:w="4140" w:type="dxa"/>
            <w:shd w:val="clear" w:color="auto" w:fill="E7E6E6"/>
            <w:tcMar>
              <w:top w:w="0" w:type="dxa"/>
              <w:left w:w="45" w:type="dxa"/>
              <w:bottom w:w="0" w:type="dxa"/>
              <w:right w:w="45" w:type="dxa"/>
            </w:tcMar>
          </w:tcPr>
          <w:p w:rsidR="003D6B14" w:rsidRDefault="003D6B14">
            <w:pPr>
              <w:spacing w:after="0" w:line="240" w:lineRule="auto"/>
              <w:rPr>
                <w:color w:val="000000"/>
              </w:rPr>
            </w:pPr>
          </w:p>
        </w:tc>
        <w:tc>
          <w:tcPr>
            <w:tcW w:w="4410" w:type="dxa"/>
            <w:shd w:val="clear" w:color="auto" w:fill="E7E6E6"/>
          </w:tcPr>
          <w:p w:rsidR="003D6B14" w:rsidRDefault="002462A6">
            <w:pPr>
              <w:spacing w:after="0" w:line="240" w:lineRule="auto"/>
              <w:rPr>
                <w:color w:val="000000"/>
              </w:rPr>
            </w:pPr>
            <w:r>
              <w:rPr>
                <w:color w:val="000000"/>
              </w:rPr>
              <w:t>4.e. Adjustments</w:t>
            </w:r>
          </w:p>
        </w:tc>
      </w:tr>
      <w:tr w:rsidR="003D6B14">
        <w:trPr>
          <w:trHeight w:val="300"/>
        </w:trPr>
        <w:tc>
          <w:tcPr>
            <w:tcW w:w="4140" w:type="dxa"/>
            <w:shd w:val="clear" w:color="auto" w:fill="E7E6E6"/>
            <w:tcMar>
              <w:top w:w="0" w:type="dxa"/>
              <w:left w:w="45" w:type="dxa"/>
              <w:bottom w:w="0" w:type="dxa"/>
              <w:right w:w="45" w:type="dxa"/>
            </w:tcMar>
          </w:tcPr>
          <w:p w:rsidR="003D6B14" w:rsidRDefault="002462A6">
            <w:pPr>
              <w:spacing w:after="0" w:line="240" w:lineRule="auto"/>
              <w:rPr>
                <w:color w:val="000000"/>
              </w:rPr>
            </w:pPr>
            <w:r>
              <w:rPr>
                <w:color w:val="000000"/>
              </w:rPr>
              <w:t>Treatment of missing values</w:t>
            </w:r>
            <w:r>
              <w:rPr>
                <w:color w:val="000000"/>
              </w:rPr>
              <w:br/>
              <w:t xml:space="preserve">* At country level: </w:t>
            </w:r>
            <w:r>
              <w:rPr>
                <w:color w:val="000000"/>
              </w:rPr>
              <w:br/>
              <w:t xml:space="preserve">* At regional or global levels: </w:t>
            </w:r>
          </w:p>
        </w:tc>
        <w:tc>
          <w:tcPr>
            <w:tcW w:w="4410" w:type="dxa"/>
            <w:shd w:val="clear" w:color="auto" w:fill="E7E6E6"/>
          </w:tcPr>
          <w:p w:rsidR="003D6B14" w:rsidRDefault="002462A6">
            <w:pPr>
              <w:spacing w:after="0" w:line="240" w:lineRule="auto"/>
              <w:rPr>
                <w:color w:val="000000"/>
              </w:rPr>
            </w:pPr>
            <w:r>
              <w:rPr>
                <w:color w:val="000000"/>
              </w:rPr>
              <w:t>4.f. Treatment of missing values (i) at country level and (ii) at regional level.</w:t>
            </w:r>
          </w:p>
        </w:tc>
      </w:tr>
      <w:tr w:rsidR="003D6B14">
        <w:trPr>
          <w:trHeight w:val="300"/>
        </w:trPr>
        <w:tc>
          <w:tcPr>
            <w:tcW w:w="4140" w:type="dxa"/>
            <w:shd w:val="clear" w:color="auto" w:fill="E7E6E6"/>
            <w:tcMar>
              <w:top w:w="0" w:type="dxa"/>
              <w:left w:w="45" w:type="dxa"/>
              <w:bottom w:w="0" w:type="dxa"/>
              <w:right w:w="45" w:type="dxa"/>
            </w:tcMar>
          </w:tcPr>
          <w:p w:rsidR="003D6B14" w:rsidRDefault="002462A6">
            <w:pPr>
              <w:spacing w:after="0" w:line="240" w:lineRule="auto"/>
              <w:rPr>
                <w:color w:val="000000"/>
              </w:rPr>
            </w:pPr>
            <w:r>
              <w:rPr>
                <w:color w:val="000000"/>
              </w:rPr>
              <w:t>Regional aggregates</w:t>
            </w:r>
          </w:p>
        </w:tc>
        <w:tc>
          <w:tcPr>
            <w:tcW w:w="4410" w:type="dxa"/>
            <w:shd w:val="clear" w:color="auto" w:fill="E7E6E6"/>
          </w:tcPr>
          <w:p w:rsidR="003D6B14" w:rsidRDefault="002462A6">
            <w:pPr>
              <w:spacing w:after="0" w:line="240" w:lineRule="auto"/>
              <w:rPr>
                <w:color w:val="000000"/>
              </w:rPr>
            </w:pPr>
            <w:r>
              <w:rPr>
                <w:color w:val="000000"/>
              </w:rPr>
              <w:t>4.g. Regional aggregations</w:t>
            </w:r>
          </w:p>
        </w:tc>
      </w:tr>
      <w:tr w:rsidR="003D6B14">
        <w:trPr>
          <w:trHeight w:val="300"/>
        </w:trPr>
        <w:tc>
          <w:tcPr>
            <w:tcW w:w="4140" w:type="dxa"/>
            <w:shd w:val="clear" w:color="auto" w:fill="E7E6E6"/>
            <w:tcMar>
              <w:top w:w="0" w:type="dxa"/>
              <w:left w:w="45" w:type="dxa"/>
              <w:bottom w:w="0" w:type="dxa"/>
              <w:right w:w="45" w:type="dxa"/>
            </w:tcMar>
          </w:tcPr>
          <w:p w:rsidR="003D6B14" w:rsidRDefault="002462A6">
            <w:pPr>
              <w:spacing w:after="0" w:line="240" w:lineRule="auto"/>
              <w:rPr>
                <w:color w:val="000000"/>
              </w:rPr>
            </w:pPr>
            <w:r>
              <w:rPr>
                <w:color w:val="000000"/>
              </w:rPr>
              <w:t>Sources of discrepancies</w:t>
            </w:r>
          </w:p>
        </w:tc>
        <w:tc>
          <w:tcPr>
            <w:tcW w:w="4410" w:type="dxa"/>
            <w:shd w:val="clear" w:color="auto" w:fill="E7E6E6"/>
          </w:tcPr>
          <w:p w:rsidR="003D6B14" w:rsidRDefault="002462A6">
            <w:pPr>
              <w:spacing w:after="0" w:line="240" w:lineRule="auto"/>
              <w:rPr>
                <w:color w:val="000000"/>
              </w:rPr>
            </w:pPr>
            <w:r>
              <w:rPr>
                <w:color w:val="000000"/>
              </w:rPr>
              <w:t>6. Comparability / Deviation from international standards</w:t>
            </w:r>
          </w:p>
        </w:tc>
      </w:tr>
      <w:tr w:rsidR="003D6B14">
        <w:trPr>
          <w:trHeight w:val="300"/>
        </w:trPr>
        <w:tc>
          <w:tcPr>
            <w:tcW w:w="4140" w:type="dxa"/>
            <w:shd w:val="clear" w:color="auto" w:fill="E7E6E6"/>
            <w:tcMar>
              <w:top w:w="0" w:type="dxa"/>
              <w:left w:w="45" w:type="dxa"/>
              <w:bottom w:w="0" w:type="dxa"/>
              <w:right w:w="45" w:type="dxa"/>
            </w:tcMar>
          </w:tcPr>
          <w:p w:rsidR="003D6B14" w:rsidRDefault="002462A6">
            <w:pPr>
              <w:spacing w:after="0" w:line="240" w:lineRule="auto"/>
              <w:rPr>
                <w:color w:val="000000"/>
              </w:rPr>
            </w:pPr>
            <w:r>
              <w:rPr>
                <w:color w:val="000000"/>
              </w:rPr>
              <w:t>Methods and guidance available to countries for the compilation of the data at the national level</w:t>
            </w:r>
          </w:p>
        </w:tc>
        <w:tc>
          <w:tcPr>
            <w:tcW w:w="4410" w:type="dxa"/>
            <w:shd w:val="clear" w:color="auto" w:fill="E7E6E6"/>
          </w:tcPr>
          <w:p w:rsidR="003D6B14" w:rsidRDefault="002462A6">
            <w:pPr>
              <w:spacing w:after="0" w:line="240" w:lineRule="auto"/>
              <w:rPr>
                <w:color w:val="000000"/>
              </w:rPr>
            </w:pPr>
            <w:r>
              <w:rPr>
                <w:color w:val="000000"/>
              </w:rPr>
              <w:t>4.h. Methods and guidance available to countries for the compilation of the data at the national level</w:t>
            </w:r>
          </w:p>
        </w:tc>
      </w:tr>
      <w:tr w:rsidR="003D6B14">
        <w:trPr>
          <w:trHeight w:val="300"/>
        </w:trPr>
        <w:tc>
          <w:tcPr>
            <w:tcW w:w="4140" w:type="dxa"/>
            <w:shd w:val="clear" w:color="auto" w:fill="E7E6E6"/>
            <w:tcMar>
              <w:top w:w="0" w:type="dxa"/>
              <w:left w:w="45" w:type="dxa"/>
              <w:bottom w:w="0" w:type="dxa"/>
              <w:right w:w="45" w:type="dxa"/>
            </w:tcMar>
          </w:tcPr>
          <w:p w:rsidR="003D6B14" w:rsidRDefault="003D6B14">
            <w:pPr>
              <w:spacing w:after="0" w:line="240" w:lineRule="auto"/>
              <w:rPr>
                <w:color w:val="000000"/>
              </w:rPr>
            </w:pPr>
          </w:p>
        </w:tc>
        <w:tc>
          <w:tcPr>
            <w:tcW w:w="4410" w:type="dxa"/>
            <w:shd w:val="clear" w:color="auto" w:fill="E7E6E6"/>
          </w:tcPr>
          <w:p w:rsidR="003D6B14" w:rsidRDefault="002462A6">
            <w:pPr>
              <w:spacing w:after="0" w:line="240" w:lineRule="auto"/>
              <w:rPr>
                <w:color w:val="000000"/>
              </w:rPr>
            </w:pPr>
            <w:r>
              <w:rPr>
                <w:color w:val="000000"/>
              </w:rPr>
              <w:t>4.i. Quality management</w:t>
            </w:r>
          </w:p>
        </w:tc>
      </w:tr>
      <w:tr w:rsidR="003D6B14">
        <w:trPr>
          <w:trHeight w:val="300"/>
        </w:trPr>
        <w:tc>
          <w:tcPr>
            <w:tcW w:w="4140" w:type="dxa"/>
            <w:shd w:val="clear" w:color="auto" w:fill="E7E6E6"/>
            <w:tcMar>
              <w:top w:w="0" w:type="dxa"/>
              <w:left w:w="45" w:type="dxa"/>
              <w:bottom w:w="0" w:type="dxa"/>
              <w:right w:w="45" w:type="dxa"/>
            </w:tcMar>
          </w:tcPr>
          <w:p w:rsidR="003D6B14" w:rsidRDefault="002462A6">
            <w:pPr>
              <w:spacing w:after="0" w:line="240" w:lineRule="auto"/>
              <w:rPr>
                <w:color w:val="000000"/>
              </w:rPr>
            </w:pPr>
            <w:r>
              <w:rPr>
                <w:color w:val="000000"/>
              </w:rPr>
              <w:t>Quality assurance</w:t>
            </w:r>
          </w:p>
        </w:tc>
        <w:tc>
          <w:tcPr>
            <w:tcW w:w="4410" w:type="dxa"/>
            <w:shd w:val="clear" w:color="auto" w:fill="E7E6E6"/>
          </w:tcPr>
          <w:p w:rsidR="003D6B14" w:rsidRDefault="002462A6">
            <w:pPr>
              <w:spacing w:after="0" w:line="240" w:lineRule="auto"/>
              <w:rPr>
                <w:color w:val="000000"/>
              </w:rPr>
            </w:pPr>
            <w:r>
              <w:rPr>
                <w:color w:val="000000"/>
              </w:rPr>
              <w:t>4.j. Quality assurance</w:t>
            </w:r>
          </w:p>
        </w:tc>
      </w:tr>
      <w:tr w:rsidR="003D6B14">
        <w:trPr>
          <w:trHeight w:val="300"/>
        </w:trPr>
        <w:tc>
          <w:tcPr>
            <w:tcW w:w="4140" w:type="dxa"/>
            <w:shd w:val="clear" w:color="auto" w:fill="E7E6E6"/>
            <w:tcMar>
              <w:top w:w="0" w:type="dxa"/>
              <w:left w:w="45" w:type="dxa"/>
              <w:bottom w:w="0" w:type="dxa"/>
              <w:right w:w="45" w:type="dxa"/>
            </w:tcMar>
          </w:tcPr>
          <w:p w:rsidR="003D6B14" w:rsidRDefault="003D6B14">
            <w:pPr>
              <w:spacing w:after="0" w:line="240" w:lineRule="auto"/>
              <w:rPr>
                <w:color w:val="000000"/>
              </w:rPr>
            </w:pPr>
          </w:p>
        </w:tc>
        <w:tc>
          <w:tcPr>
            <w:tcW w:w="4410" w:type="dxa"/>
            <w:shd w:val="clear" w:color="auto" w:fill="E7E6E6"/>
          </w:tcPr>
          <w:p w:rsidR="003D6B14" w:rsidRDefault="002462A6">
            <w:pPr>
              <w:spacing w:after="0" w:line="240" w:lineRule="auto"/>
              <w:rPr>
                <w:color w:val="000000"/>
              </w:rPr>
            </w:pPr>
            <w:r>
              <w:rPr>
                <w:color w:val="000000"/>
              </w:rPr>
              <w:t>4.k. Quality assessment</w:t>
            </w:r>
          </w:p>
        </w:tc>
      </w:tr>
      <w:tr w:rsidR="003D6B14">
        <w:trPr>
          <w:trHeight w:val="300"/>
        </w:trPr>
        <w:tc>
          <w:tcPr>
            <w:tcW w:w="4140" w:type="dxa"/>
            <w:shd w:val="clear" w:color="auto" w:fill="E7E6E6"/>
            <w:tcMar>
              <w:top w:w="0" w:type="dxa"/>
              <w:left w:w="45" w:type="dxa"/>
              <w:bottom w:w="0" w:type="dxa"/>
              <w:right w:w="45" w:type="dxa"/>
            </w:tcMar>
          </w:tcPr>
          <w:p w:rsidR="003D6B14" w:rsidRDefault="002462A6">
            <w:pPr>
              <w:spacing w:after="0" w:line="240" w:lineRule="auto"/>
              <w:rPr>
                <w:color w:val="000000"/>
              </w:rPr>
            </w:pPr>
            <w:r>
              <w:rPr>
                <w:color w:val="000000"/>
              </w:rPr>
              <w:t>Data sources</w:t>
            </w:r>
            <w:r>
              <w:rPr>
                <w:color w:val="000000"/>
              </w:rPr>
              <w:br/>
              <w:t>Description</w:t>
            </w:r>
          </w:p>
        </w:tc>
        <w:tc>
          <w:tcPr>
            <w:tcW w:w="4410" w:type="dxa"/>
            <w:shd w:val="clear" w:color="auto" w:fill="E7E6E6"/>
          </w:tcPr>
          <w:p w:rsidR="003D6B14" w:rsidRDefault="002462A6">
            <w:pPr>
              <w:spacing w:after="0" w:line="240" w:lineRule="auto"/>
              <w:rPr>
                <w:color w:val="000000"/>
              </w:rPr>
            </w:pPr>
            <w:r>
              <w:rPr>
                <w:color w:val="000000"/>
              </w:rPr>
              <w:t>3.a. Data sources</w:t>
            </w:r>
          </w:p>
        </w:tc>
      </w:tr>
      <w:tr w:rsidR="003D6B14">
        <w:trPr>
          <w:trHeight w:val="300"/>
        </w:trPr>
        <w:tc>
          <w:tcPr>
            <w:tcW w:w="4140" w:type="dxa"/>
            <w:shd w:val="clear" w:color="auto" w:fill="E7E6E6"/>
            <w:tcMar>
              <w:top w:w="0" w:type="dxa"/>
              <w:left w:w="45" w:type="dxa"/>
              <w:bottom w:w="0" w:type="dxa"/>
              <w:right w:w="45" w:type="dxa"/>
            </w:tcMar>
          </w:tcPr>
          <w:p w:rsidR="003D6B14" w:rsidRDefault="002462A6">
            <w:pPr>
              <w:spacing w:after="0" w:line="240" w:lineRule="auto"/>
              <w:rPr>
                <w:color w:val="000000"/>
              </w:rPr>
            </w:pPr>
            <w:r>
              <w:rPr>
                <w:color w:val="000000"/>
              </w:rPr>
              <w:t>Collection process</w:t>
            </w:r>
          </w:p>
        </w:tc>
        <w:tc>
          <w:tcPr>
            <w:tcW w:w="4410" w:type="dxa"/>
            <w:shd w:val="clear" w:color="auto" w:fill="E7E6E6"/>
          </w:tcPr>
          <w:p w:rsidR="003D6B14" w:rsidRDefault="002462A6">
            <w:pPr>
              <w:spacing w:after="0" w:line="240" w:lineRule="auto"/>
              <w:rPr>
                <w:color w:val="000000"/>
              </w:rPr>
            </w:pPr>
            <w:r>
              <w:rPr>
                <w:color w:val="000000"/>
              </w:rPr>
              <w:t>3.b. Data collection method</w:t>
            </w:r>
          </w:p>
        </w:tc>
      </w:tr>
      <w:tr w:rsidR="003D6B14">
        <w:trPr>
          <w:trHeight w:val="300"/>
        </w:trPr>
        <w:tc>
          <w:tcPr>
            <w:tcW w:w="4140" w:type="dxa"/>
            <w:shd w:val="clear" w:color="auto" w:fill="E7E6E6"/>
            <w:tcMar>
              <w:top w:w="0" w:type="dxa"/>
              <w:left w:w="45" w:type="dxa"/>
              <w:bottom w:w="0" w:type="dxa"/>
              <w:right w:w="45" w:type="dxa"/>
            </w:tcMar>
          </w:tcPr>
          <w:p w:rsidR="003D6B14" w:rsidRDefault="002462A6">
            <w:pPr>
              <w:spacing w:after="0" w:line="240" w:lineRule="auto"/>
              <w:rPr>
                <w:color w:val="000000"/>
              </w:rPr>
            </w:pPr>
            <w:r>
              <w:rPr>
                <w:color w:val="000000"/>
              </w:rPr>
              <w:t>Data availability</w:t>
            </w:r>
            <w:r>
              <w:rPr>
                <w:color w:val="000000"/>
              </w:rPr>
              <w:br/>
              <w:t>Disaggregation</w:t>
            </w:r>
          </w:p>
        </w:tc>
        <w:tc>
          <w:tcPr>
            <w:tcW w:w="4410" w:type="dxa"/>
            <w:shd w:val="clear" w:color="auto" w:fill="E7E6E6"/>
          </w:tcPr>
          <w:p w:rsidR="003D6B14" w:rsidRDefault="002462A6">
            <w:pPr>
              <w:spacing w:after="0" w:line="240" w:lineRule="auto"/>
              <w:rPr>
                <w:color w:val="000000"/>
              </w:rPr>
            </w:pPr>
            <w:r>
              <w:rPr>
                <w:color w:val="000000"/>
              </w:rPr>
              <w:t>5. Data availability and disaggregation</w:t>
            </w:r>
          </w:p>
        </w:tc>
      </w:tr>
      <w:tr w:rsidR="003D6B14">
        <w:trPr>
          <w:trHeight w:val="300"/>
        </w:trPr>
        <w:tc>
          <w:tcPr>
            <w:tcW w:w="4140" w:type="dxa"/>
            <w:shd w:val="clear" w:color="auto" w:fill="E7E6E6"/>
            <w:tcMar>
              <w:top w:w="0" w:type="dxa"/>
              <w:left w:w="45" w:type="dxa"/>
              <w:bottom w:w="0" w:type="dxa"/>
              <w:right w:w="45" w:type="dxa"/>
            </w:tcMar>
          </w:tcPr>
          <w:p w:rsidR="003D6B14" w:rsidRDefault="002462A6">
            <w:pPr>
              <w:spacing w:after="0" w:line="240" w:lineRule="auto"/>
              <w:rPr>
                <w:color w:val="000000"/>
              </w:rPr>
            </w:pPr>
            <w:r>
              <w:rPr>
                <w:color w:val="000000"/>
              </w:rPr>
              <w:t>Calendar</w:t>
            </w:r>
            <w:r>
              <w:rPr>
                <w:color w:val="000000"/>
              </w:rPr>
              <w:br/>
              <w:t>Data collection</w:t>
            </w:r>
          </w:p>
        </w:tc>
        <w:tc>
          <w:tcPr>
            <w:tcW w:w="4410" w:type="dxa"/>
            <w:shd w:val="clear" w:color="auto" w:fill="E7E6E6"/>
          </w:tcPr>
          <w:p w:rsidR="003D6B14" w:rsidRDefault="002462A6">
            <w:pPr>
              <w:spacing w:after="0" w:line="240" w:lineRule="auto"/>
              <w:rPr>
                <w:color w:val="000000"/>
              </w:rPr>
            </w:pPr>
            <w:r>
              <w:rPr>
                <w:color w:val="000000"/>
              </w:rPr>
              <w:t>3.c. Data collection calendar</w:t>
            </w:r>
          </w:p>
        </w:tc>
      </w:tr>
      <w:tr w:rsidR="003D6B14">
        <w:trPr>
          <w:trHeight w:val="300"/>
        </w:trPr>
        <w:tc>
          <w:tcPr>
            <w:tcW w:w="4140" w:type="dxa"/>
            <w:shd w:val="clear" w:color="auto" w:fill="E7E6E6"/>
            <w:tcMar>
              <w:top w:w="0" w:type="dxa"/>
              <w:left w:w="45" w:type="dxa"/>
              <w:bottom w:w="0" w:type="dxa"/>
              <w:right w:w="45" w:type="dxa"/>
            </w:tcMar>
          </w:tcPr>
          <w:p w:rsidR="003D6B14" w:rsidRDefault="002462A6">
            <w:pPr>
              <w:spacing w:after="0" w:line="240" w:lineRule="auto"/>
              <w:rPr>
                <w:color w:val="000000"/>
              </w:rPr>
            </w:pPr>
            <w:r>
              <w:rPr>
                <w:color w:val="000000"/>
              </w:rPr>
              <w:t>Data release</w:t>
            </w:r>
          </w:p>
        </w:tc>
        <w:tc>
          <w:tcPr>
            <w:tcW w:w="4410" w:type="dxa"/>
            <w:shd w:val="clear" w:color="auto" w:fill="E7E6E6"/>
          </w:tcPr>
          <w:p w:rsidR="003D6B14" w:rsidRDefault="002462A6">
            <w:pPr>
              <w:spacing w:after="0" w:line="240" w:lineRule="auto"/>
              <w:rPr>
                <w:color w:val="000000"/>
              </w:rPr>
            </w:pPr>
            <w:r>
              <w:rPr>
                <w:color w:val="000000"/>
              </w:rPr>
              <w:t>3.d. Data release calendar</w:t>
            </w:r>
          </w:p>
        </w:tc>
      </w:tr>
      <w:tr w:rsidR="003D6B14">
        <w:trPr>
          <w:trHeight w:val="300"/>
        </w:trPr>
        <w:tc>
          <w:tcPr>
            <w:tcW w:w="4140" w:type="dxa"/>
            <w:shd w:val="clear" w:color="auto" w:fill="E7E6E6"/>
            <w:tcMar>
              <w:top w:w="0" w:type="dxa"/>
              <w:left w:w="45" w:type="dxa"/>
              <w:bottom w:w="0" w:type="dxa"/>
              <w:right w:w="45" w:type="dxa"/>
            </w:tcMar>
          </w:tcPr>
          <w:p w:rsidR="003D6B14" w:rsidRDefault="002462A6">
            <w:pPr>
              <w:spacing w:after="0" w:line="240" w:lineRule="auto"/>
              <w:rPr>
                <w:color w:val="000000"/>
              </w:rPr>
            </w:pPr>
            <w:r>
              <w:rPr>
                <w:color w:val="000000"/>
              </w:rPr>
              <w:t>Data providers</w:t>
            </w:r>
          </w:p>
        </w:tc>
        <w:tc>
          <w:tcPr>
            <w:tcW w:w="4410" w:type="dxa"/>
            <w:shd w:val="clear" w:color="auto" w:fill="E7E6E6"/>
          </w:tcPr>
          <w:p w:rsidR="003D6B14" w:rsidRDefault="002462A6">
            <w:pPr>
              <w:spacing w:after="0" w:line="240" w:lineRule="auto"/>
              <w:rPr>
                <w:color w:val="000000"/>
              </w:rPr>
            </w:pPr>
            <w:r>
              <w:rPr>
                <w:color w:val="000000"/>
              </w:rPr>
              <w:t>3.e. Data providers</w:t>
            </w:r>
          </w:p>
        </w:tc>
      </w:tr>
      <w:tr w:rsidR="003D6B14">
        <w:trPr>
          <w:trHeight w:val="300"/>
        </w:trPr>
        <w:tc>
          <w:tcPr>
            <w:tcW w:w="4140" w:type="dxa"/>
            <w:shd w:val="clear" w:color="auto" w:fill="E7E6E6"/>
            <w:tcMar>
              <w:top w:w="0" w:type="dxa"/>
              <w:left w:w="45" w:type="dxa"/>
              <w:bottom w:w="0" w:type="dxa"/>
              <w:right w:w="45" w:type="dxa"/>
            </w:tcMar>
          </w:tcPr>
          <w:p w:rsidR="003D6B14" w:rsidRDefault="002462A6">
            <w:pPr>
              <w:spacing w:after="0" w:line="240" w:lineRule="auto"/>
              <w:rPr>
                <w:color w:val="000000"/>
              </w:rPr>
            </w:pPr>
            <w:r>
              <w:rPr>
                <w:color w:val="000000"/>
              </w:rPr>
              <w:t>Data compilers</w:t>
            </w:r>
          </w:p>
        </w:tc>
        <w:tc>
          <w:tcPr>
            <w:tcW w:w="4410" w:type="dxa"/>
            <w:shd w:val="clear" w:color="auto" w:fill="E7E6E6"/>
          </w:tcPr>
          <w:p w:rsidR="003D6B14" w:rsidRDefault="002462A6">
            <w:pPr>
              <w:spacing w:after="0" w:line="240" w:lineRule="auto"/>
              <w:rPr>
                <w:color w:val="000000"/>
              </w:rPr>
            </w:pPr>
            <w:r>
              <w:rPr>
                <w:color w:val="000000"/>
              </w:rPr>
              <w:t>3.f. Data compilers</w:t>
            </w:r>
          </w:p>
        </w:tc>
      </w:tr>
      <w:tr w:rsidR="003D6B14">
        <w:trPr>
          <w:trHeight w:val="300"/>
        </w:trPr>
        <w:tc>
          <w:tcPr>
            <w:tcW w:w="4140" w:type="dxa"/>
            <w:shd w:val="clear" w:color="auto" w:fill="E7E6E6"/>
            <w:tcMar>
              <w:top w:w="0" w:type="dxa"/>
              <w:left w:w="45" w:type="dxa"/>
              <w:bottom w:w="0" w:type="dxa"/>
              <w:right w:w="45" w:type="dxa"/>
            </w:tcMar>
          </w:tcPr>
          <w:p w:rsidR="003D6B14" w:rsidRDefault="003D6B14">
            <w:pPr>
              <w:spacing w:after="0" w:line="240" w:lineRule="auto"/>
              <w:rPr>
                <w:color w:val="000000"/>
              </w:rPr>
            </w:pPr>
          </w:p>
        </w:tc>
        <w:tc>
          <w:tcPr>
            <w:tcW w:w="4410" w:type="dxa"/>
            <w:shd w:val="clear" w:color="auto" w:fill="E7E6E6"/>
          </w:tcPr>
          <w:p w:rsidR="003D6B14" w:rsidRDefault="002462A6">
            <w:pPr>
              <w:spacing w:after="0" w:line="240" w:lineRule="auto"/>
              <w:rPr>
                <w:color w:val="000000"/>
              </w:rPr>
            </w:pPr>
            <w:r>
              <w:rPr>
                <w:color w:val="000000"/>
              </w:rPr>
              <w:t>3.g. Institutional mandate</w:t>
            </w:r>
          </w:p>
        </w:tc>
      </w:tr>
      <w:tr w:rsidR="003D6B14">
        <w:trPr>
          <w:trHeight w:val="300"/>
        </w:trPr>
        <w:tc>
          <w:tcPr>
            <w:tcW w:w="4140" w:type="dxa"/>
            <w:shd w:val="clear" w:color="auto" w:fill="E7E6E6"/>
            <w:tcMar>
              <w:top w:w="0" w:type="dxa"/>
              <w:left w:w="45" w:type="dxa"/>
              <w:bottom w:w="0" w:type="dxa"/>
              <w:right w:w="45" w:type="dxa"/>
            </w:tcMar>
          </w:tcPr>
          <w:p w:rsidR="003D6B14" w:rsidRDefault="002462A6">
            <w:pPr>
              <w:spacing w:after="0" w:line="240" w:lineRule="auto"/>
              <w:rPr>
                <w:color w:val="000000"/>
              </w:rPr>
            </w:pPr>
            <w:r>
              <w:rPr>
                <w:color w:val="000000"/>
              </w:rPr>
              <w:t>References</w:t>
            </w:r>
            <w:r>
              <w:rPr>
                <w:color w:val="000000"/>
              </w:rPr>
              <w:br/>
              <w:t>URL</w:t>
            </w:r>
            <w:r>
              <w:rPr>
                <w:color w:val="000000"/>
              </w:rPr>
              <w:br/>
              <w:t>References</w:t>
            </w:r>
          </w:p>
        </w:tc>
        <w:tc>
          <w:tcPr>
            <w:tcW w:w="4410" w:type="dxa"/>
            <w:shd w:val="clear" w:color="auto" w:fill="E7E6E6"/>
          </w:tcPr>
          <w:p w:rsidR="003D6B14" w:rsidRDefault="002462A6">
            <w:pPr>
              <w:spacing w:after="0" w:line="240" w:lineRule="auto"/>
              <w:rPr>
                <w:color w:val="000000"/>
              </w:rPr>
            </w:pPr>
            <w:r>
              <w:rPr>
                <w:color w:val="000000"/>
              </w:rPr>
              <w:t>7. References and Documentation</w:t>
            </w:r>
          </w:p>
        </w:tc>
      </w:tr>
      <w:tr w:rsidR="003D6B14">
        <w:trPr>
          <w:trHeight w:val="300"/>
        </w:trPr>
        <w:tc>
          <w:tcPr>
            <w:tcW w:w="4140" w:type="dxa"/>
            <w:shd w:val="clear" w:color="auto" w:fill="E7E6E6"/>
            <w:tcMar>
              <w:top w:w="0" w:type="dxa"/>
              <w:left w:w="45" w:type="dxa"/>
              <w:bottom w:w="0" w:type="dxa"/>
              <w:right w:w="45" w:type="dxa"/>
            </w:tcMar>
          </w:tcPr>
          <w:p w:rsidR="003D6B14" w:rsidRDefault="002462A6">
            <w:pPr>
              <w:spacing w:after="0" w:line="240" w:lineRule="auto"/>
            </w:pPr>
            <w:r>
              <w:lastRenderedPageBreak/>
              <w:t>Related indicators</w:t>
            </w:r>
          </w:p>
        </w:tc>
        <w:tc>
          <w:tcPr>
            <w:tcW w:w="4410" w:type="dxa"/>
            <w:shd w:val="clear" w:color="auto" w:fill="E7E6E6"/>
          </w:tcPr>
          <w:p w:rsidR="003D6B14" w:rsidRDefault="002462A6">
            <w:pPr>
              <w:spacing w:after="0" w:line="240" w:lineRule="auto"/>
            </w:pPr>
            <w:r>
              <w:t>0.f. Related indicators</w:t>
            </w:r>
          </w:p>
        </w:tc>
      </w:tr>
    </w:tbl>
    <w:p w:rsidR="003D6B14" w:rsidRDefault="003D6B14">
      <w:pPr>
        <w:pBdr>
          <w:top w:val="nil"/>
          <w:left w:val="nil"/>
          <w:bottom w:val="nil"/>
          <w:right w:val="nil"/>
          <w:between w:val="nil"/>
        </w:pBdr>
        <w:shd w:val="clear" w:color="auto" w:fill="FFFFFF"/>
        <w:spacing w:after="0" w:line="276" w:lineRule="auto"/>
        <w:rPr>
          <w:color w:val="4A4A4A"/>
          <w:sz w:val="21"/>
          <w:szCs w:val="21"/>
        </w:rPr>
      </w:pPr>
    </w:p>
    <w:sectPr w:rsidR="003D6B14">
      <w:footerReference w:type="defaul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E6F" w:rsidRDefault="002462A6">
      <w:pPr>
        <w:spacing w:after="0" w:line="240" w:lineRule="auto"/>
      </w:pPr>
      <w:r>
        <w:separator/>
      </w:r>
    </w:p>
  </w:endnote>
  <w:endnote w:type="continuationSeparator" w:id="0">
    <w:p w:rsidR="002A5E6F" w:rsidRDefault="00246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B14" w:rsidRDefault="002462A6">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82DC5">
      <w:rPr>
        <w:noProof/>
        <w:color w:val="000000"/>
      </w:rPr>
      <w:t>13</w:t>
    </w:r>
    <w:r>
      <w:rPr>
        <w:color w:val="000000"/>
      </w:rPr>
      <w:fldChar w:fldCharType="end"/>
    </w:r>
  </w:p>
  <w:p w:rsidR="003D6B14" w:rsidRDefault="003D6B1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B14" w:rsidRDefault="002462A6">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82DC5">
      <w:rPr>
        <w:noProof/>
        <w:color w:val="000000"/>
      </w:rPr>
      <w:t>1</w:t>
    </w:r>
    <w:r>
      <w:rPr>
        <w:color w:val="000000"/>
      </w:rPr>
      <w:fldChar w:fldCharType="end"/>
    </w:r>
  </w:p>
  <w:p w:rsidR="003D6B14" w:rsidRDefault="003D6B1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E6F" w:rsidRDefault="002462A6">
      <w:pPr>
        <w:spacing w:after="0" w:line="240" w:lineRule="auto"/>
      </w:pPr>
      <w:r>
        <w:separator/>
      </w:r>
    </w:p>
  </w:footnote>
  <w:footnote w:type="continuationSeparator" w:id="0">
    <w:p w:rsidR="002A5E6F" w:rsidRDefault="002462A6">
      <w:pPr>
        <w:spacing w:after="0" w:line="240" w:lineRule="auto"/>
      </w:pPr>
      <w:r>
        <w:continuationSeparator/>
      </w:r>
    </w:p>
  </w:footnote>
  <w:footnote w:id="1">
    <w:p w:rsidR="003D6B14" w:rsidRDefault="002462A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To insert a table within a template cell, copy your table; insert cursor into the template cell; right click, select Paste Options, choose Nested Table (first option). Insert formulas as text or images. Do not use equation editor.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E05A9"/>
    <w:multiLevelType w:val="hybridMultilevel"/>
    <w:tmpl w:val="35B4B268"/>
    <w:lvl w:ilvl="0" w:tplc="DDCA53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6E6016C"/>
    <w:multiLevelType w:val="hybridMultilevel"/>
    <w:tmpl w:val="05A02712"/>
    <w:lvl w:ilvl="0" w:tplc="C352BC3E">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 w15:restartNumberingAfterBreak="0">
    <w:nsid w:val="58D2372E"/>
    <w:multiLevelType w:val="hybridMultilevel"/>
    <w:tmpl w:val="31F60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B14"/>
    <w:rsid w:val="00020B26"/>
    <w:rsid w:val="001114A6"/>
    <w:rsid w:val="00182DC5"/>
    <w:rsid w:val="00216BEF"/>
    <w:rsid w:val="002440DA"/>
    <w:rsid w:val="002462A6"/>
    <w:rsid w:val="002A5E6F"/>
    <w:rsid w:val="0035111A"/>
    <w:rsid w:val="003C71E9"/>
    <w:rsid w:val="003D6B14"/>
    <w:rsid w:val="00406B24"/>
    <w:rsid w:val="00424896"/>
    <w:rsid w:val="00443420"/>
    <w:rsid w:val="00467C36"/>
    <w:rsid w:val="00481914"/>
    <w:rsid w:val="005B0E41"/>
    <w:rsid w:val="006A1E9E"/>
    <w:rsid w:val="00715F7D"/>
    <w:rsid w:val="00757894"/>
    <w:rsid w:val="00837306"/>
    <w:rsid w:val="008C505E"/>
    <w:rsid w:val="008F43F7"/>
    <w:rsid w:val="009750F9"/>
    <w:rsid w:val="009C4B14"/>
    <w:rsid w:val="009F4A5D"/>
    <w:rsid w:val="00A17F27"/>
    <w:rsid w:val="00A363B6"/>
    <w:rsid w:val="00A6420E"/>
    <w:rsid w:val="00A97660"/>
    <w:rsid w:val="00AA15E9"/>
    <w:rsid w:val="00B63D64"/>
    <w:rsid w:val="00B951EB"/>
    <w:rsid w:val="00C02EEA"/>
    <w:rsid w:val="00C96FC9"/>
    <w:rsid w:val="00D4533C"/>
    <w:rsid w:val="00D86DD9"/>
    <w:rsid w:val="00E83B55"/>
    <w:rsid w:val="00EA2390"/>
    <w:rsid w:val="00FE0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A8F3C6-A3EE-4382-BF96-B4B2705E3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rPr>
      <w:color w:val="5A5A5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paragraph" w:styleId="ListParagraph">
    <w:name w:val="List Paragraph"/>
    <w:aliases w:val="heading 2,List Paragraph 1"/>
    <w:basedOn w:val="Normal"/>
    <w:link w:val="ListParagraphChar"/>
    <w:uiPriority w:val="34"/>
    <w:qFormat/>
    <w:rsid w:val="00A17F27"/>
    <w:pPr>
      <w:spacing w:after="200" w:line="276" w:lineRule="auto"/>
      <w:ind w:left="720"/>
      <w:contextualSpacing/>
    </w:pPr>
    <w:rPr>
      <w:rFonts w:asciiTheme="minorHAnsi" w:eastAsiaTheme="minorEastAsia" w:hAnsiTheme="minorHAnsi" w:cstheme="minorBidi"/>
    </w:rPr>
  </w:style>
  <w:style w:type="character" w:customStyle="1" w:styleId="ListParagraphChar">
    <w:name w:val="List Paragraph Char"/>
    <w:aliases w:val="heading 2 Char,List Paragraph 1 Char"/>
    <w:link w:val="ListParagraph"/>
    <w:uiPriority w:val="34"/>
    <w:locked/>
    <w:rsid w:val="00A17F27"/>
    <w:rPr>
      <w:rFonts w:asciiTheme="minorHAnsi" w:eastAsiaTheme="minorEastAsia" w:hAnsiTheme="minorHAnsi" w:cstheme="minorBidi"/>
    </w:rPr>
  </w:style>
  <w:style w:type="character" w:styleId="PlaceholderText">
    <w:name w:val="Placeholder Text"/>
    <w:basedOn w:val="DefaultParagraphFont"/>
    <w:uiPriority w:val="99"/>
    <w:semiHidden/>
    <w:rsid w:val="005B0E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egovate@dngrh.gov.mz"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egovat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13</Pages>
  <Words>3378</Words>
  <Characters>19259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Silva Marcelino F. Da</cp:lastModifiedBy>
  <cp:revision>36</cp:revision>
  <dcterms:created xsi:type="dcterms:W3CDTF">2020-10-08T14:17:00Z</dcterms:created>
  <dcterms:modified xsi:type="dcterms:W3CDTF">2020-10-08T16:51:00Z</dcterms:modified>
</cp:coreProperties>
</file>