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469A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469A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469A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469A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469A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469A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469A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469A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469A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469A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469A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469A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469A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97F259C" w:rsidR="00355460" w:rsidRPr="00E263EC" w:rsidRDefault="0013326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774C1F8" w:rsidR="00B66AF3" w:rsidRDefault="00133263"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1D166B4" w:rsidR="0077584C" w:rsidRDefault="00133263"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7B7DF91" w:rsidR="00F7784D" w:rsidRDefault="00133263"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BA3325B" w:rsidR="005377B9" w:rsidRPr="009F305C" w:rsidRDefault="00133263"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F4D0E53" w:rsidR="005377B9" w:rsidRPr="009F305C" w:rsidRDefault="00133263" w:rsidP="009F305C">
            <w:r w:rsidRPr="00C714A7">
              <w:rPr>
                <w:rFonts w:eastAsia="Times New Roman"/>
                <w:sz w:val="24"/>
                <w:szCs w:val="24"/>
              </w:rPr>
              <w:t xml:space="preserve">Mục tiêu 3.1: Đến năm 2030, giảm tỷ số tử vong mẹ xuống dưới 45/100000 trẻ đẻ sống; giảm tỷ suất tử vong trẻ dưới 1 tuổi xuống dưới 10 ca trên 1000 trẻ đẻ sống </w:t>
            </w:r>
            <w:r w:rsidRPr="00C714A7">
              <w:rPr>
                <w:rFonts w:eastAsia="Times New Roman"/>
                <w:sz w:val="24"/>
                <w:szCs w:val="24"/>
              </w:rPr>
              <w:lastRenderedPageBreak/>
              <w:t>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445ED64" w:rsidR="005377B9" w:rsidRPr="009F305C" w:rsidRDefault="00133263" w:rsidP="009F305C">
            <w:r w:rsidRPr="00133263">
              <w:t>Chỉ tiêu 3.1.1. Tỷ số tử vong mẹ trên một trăm nghìn trẻ đẻ sống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955857F" w:rsidR="005377B9" w:rsidRPr="009F305C" w:rsidRDefault="00133263" w:rsidP="009F305C">
            <w:r w:rsidRPr="000B72B1">
              <w:rPr>
                <w:rFonts w:eastAsia="Times New Roman"/>
                <w:bCs/>
                <w:sz w:val="24"/>
                <w:szCs w:val="24"/>
              </w:rPr>
              <w:t>Maternal mortality ratio [3.1.1]</w:t>
            </w:r>
            <w:r>
              <w:rPr>
                <w:rFonts w:eastAsia="Times New Roman"/>
                <w:bCs/>
                <w:sz w:val="24"/>
                <w:szCs w:val="24"/>
              </w:rPr>
              <w:t xml:space="preserve">  </w:t>
            </w:r>
            <w:r w:rsidRPr="000B72B1">
              <w:rPr>
                <w:rFonts w:eastAsia="Times New Roman"/>
                <w:bCs/>
                <w:sz w:val="24"/>
                <w:szCs w:val="24"/>
              </w:rPr>
              <w:t>SH_STA_MORT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ACD3C6A" w:rsidR="005377B9" w:rsidRPr="009F305C" w:rsidRDefault="00133263"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0FDF2C2" w:rsidR="003E7389"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8FCA865" w:rsidR="003E7389"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F8B265D" w:rsidR="003E7389" w:rsidRPr="009F305C" w:rsidRDefault="00133263" w:rsidP="009F305C">
            <w:r w:rsidRPr="00D14CBE">
              <w:rPr>
                <w:rFonts w:ascii="Times New Roman"/>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46A9B0F" w:rsidR="0015178E" w:rsidRPr="00133263" w:rsidRDefault="00133263" w:rsidP="00133263">
            <w:pPr>
              <w:spacing w:before="120" w:after="120"/>
              <w:rPr>
                <w:rFonts w:eastAsia="Times New Roman"/>
                <w:sz w:val="24"/>
                <w:szCs w:val="24"/>
              </w:rPr>
            </w:pPr>
            <w:r w:rsidRPr="00C714A7">
              <w:rPr>
                <w:rFonts w:eastAsia="Times New Roman"/>
                <w:sz w:val="24"/>
                <w:szCs w:val="24"/>
              </w:rPr>
              <w:t xml:space="preserve">Số phụ nữ chết do những nguyên nhân liên quan đến mang thai và sinh đẻ (không do những nguyên nhân tình cờ như tai nạn, tự tử,...) đã xảy ra trong thời gian từ khi mang thai cho đến 42 ngày sau đẻ tính bình quân trên một trăm nghìn trẻ em </w:t>
            </w:r>
            <w:r>
              <w:rPr>
                <w:rFonts w:eastAsia="Times New Roman"/>
                <w:sz w:val="24"/>
                <w:szCs w:val="24"/>
              </w:rPr>
              <w:t>đẻ ra sống trong kỳ nghiên cứu.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DF8F148" w:rsidR="0015178E" w:rsidRPr="009F305C" w:rsidRDefault="00133263" w:rsidP="009F305C">
            <w:r w:rsidRPr="00BC7A23">
              <w:rPr>
                <w:rFonts w:eastAsia="Times New Roman"/>
                <w:bCs/>
                <w:sz w:val="24"/>
                <w:szCs w:val="24"/>
              </w:rPr>
              <w:t>trên 100.000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02DD2C1" w:rsidR="0035311B" w:rsidRPr="00133263" w:rsidRDefault="00133263" w:rsidP="00133263">
            <w:pPr>
              <w:spacing w:before="120" w:after="120"/>
              <w:rPr>
                <w:rFonts w:eastAsia="Times New Roman"/>
                <w:sz w:val="24"/>
                <w:szCs w:val="24"/>
                <w:lang w:val="nl-NL"/>
              </w:rPr>
            </w:pPr>
            <w:r w:rsidRPr="00C714A7">
              <w:rPr>
                <w:rFonts w:eastAsia="Times New Roman"/>
                <w:sz w:val="24"/>
                <w:szCs w:val="24"/>
                <w:lang w:val="nl-NL"/>
              </w:rPr>
              <w:t>Tổng điều tra dân số và nhà ở</w:t>
            </w:r>
            <w:r>
              <w:rPr>
                <w:rFonts w:eastAsia="Times New Roman"/>
                <w:sz w:val="24"/>
                <w:szCs w:val="24"/>
                <w:lang w:val="nl-NL"/>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0DA969D" w14:textId="77777777" w:rsidR="00133263" w:rsidRDefault="00133263" w:rsidP="00133263">
            <w:pPr>
              <w:spacing w:before="120" w:after="120"/>
              <w:rPr>
                <w:rFonts w:eastAsia="Times New Roman"/>
                <w:sz w:val="24"/>
                <w:szCs w:val="24"/>
                <w:lang w:val="nl-NL"/>
              </w:rPr>
            </w:pPr>
            <w:r w:rsidRPr="00C714A7">
              <w:rPr>
                <w:rFonts w:eastAsia="Times New Roman"/>
                <w:sz w:val="24"/>
                <w:szCs w:val="24"/>
                <w:lang w:val="nl-NL"/>
              </w:rPr>
              <w:t>Chỉ tiêu “Tỷ số tử vong mẹ trên một trăm nghìn trẻ đẻ sống” được tổng hợp từ nguồn dữ liệu của Tổng điều tra dân số và nhà ở (chu kỳ 10 năm)</w:t>
            </w:r>
          </w:p>
          <w:p w14:paraId="1CD0D270"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xml:space="preserve">- Loại điều tra: </w:t>
            </w:r>
            <w:r w:rsidRPr="000C2315">
              <w:rPr>
                <w:rFonts w:eastAsia="Times New Roman"/>
                <w:sz w:val="24"/>
                <w:szCs w:val="24"/>
                <w:lang w:val="nl-NL"/>
              </w:rPr>
              <w:t>Điều tra toàn bộ kết hợp điều tra chọn mẫu</w:t>
            </w:r>
          </w:p>
          <w:p w14:paraId="1225DE85"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xml:space="preserve">- Nội dung điều tra: </w:t>
            </w:r>
          </w:p>
          <w:p w14:paraId="51D640E6"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toàn bộ: Điều tra toàn bộ được thực hiện đối với đối tượng thuộc các đơn vị điều tra nhằm thu thập những thông tin cơ bản về dân số và nhà ở.</w:t>
            </w:r>
          </w:p>
          <w:p w14:paraId="23849451"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chọn mẫu:</w:t>
            </w:r>
          </w:p>
          <w:p w14:paraId="303ABC52"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chọn mẫu được thực hiện đối với một bộ phận dân số Việt Nam nhằm mục đích mở rộng nội dung điều tra, đáp ứng yêu cầu thông tin phân tích chuyên sâu; giúp nâng cao chất lượng điều tra nhất là đối với những câu hỏi nhạy cảm và phức tạp; giúp tiết kiệm kinh phí Tổng điều tra.</w:t>
            </w:r>
          </w:p>
          <w:p w14:paraId="585767E9"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chọn mẫu áp dụng phương pháp chọn mẫu phân tầng hai giai đoạn. Giai đoạn 1: Xác định số địa bàn được điều tra mẫu ở mỗi huyện theo phương pháp phân bổ tỷ lệ thuận với căn bậc hai của quy mô và chọn các địa bàn mẫu của từng huyện theo phương pháp xác suất tỷ lệ với quy mô; Giai đoạn 2: Chọn mẫu hộ từ danh sách hộ của địa bàn điều tra mẫu. Các hộ mẫu được chọn hệ thống theo khoảng cách. Số lượng địa bàn mẫu được chọn chiếm khoảng 40% tổng số địa bàn điều tra trên cả nước. Số hộ mẫu dược điều tra chiếm khoảng 10% tổng số hộ trên phạm vi cả nước.</w:t>
            </w:r>
          </w:p>
          <w:p w14:paraId="2C3A327B"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xml:space="preserve">- Phương pháp thu thập thông tin: Tổng điều tra sử dụng hai phương pháp thu thập thông tin: phỏng vấn trực tiếp </w:t>
            </w:r>
            <w:r>
              <w:rPr>
                <w:rFonts w:eastAsia="Times New Roman"/>
                <w:sz w:val="24"/>
                <w:szCs w:val="24"/>
                <w:lang w:val="nl-NL"/>
              </w:rPr>
              <w:lastRenderedPageBreak/>
              <w:t>và hộ tự cung cấp thông tin trên Trang thông tin điện tử của Tổng điều tra.</w:t>
            </w:r>
          </w:p>
          <w:p w14:paraId="4FAF748C"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xml:space="preserve">+ Phương pháp phỏng vấn trực tiếp: Điều tra viên đến từng hộ để hỏi người cung cấp thông tin và ghi đầy đủ các câu trả lời vào phiếu điều tra điện tử được thiết kế trên máy tính bảng hoặc điện thoại thông minh (viết gọn là phiếu điện tử); trường hợp bất khả kháng đối với số ít địa bàn điều tra không thể ứng dụng công nghệ thông tin trong thu thập số liệu thì điều tra viên sử dụng phiếu giấy để ghi chép thông tin. Đối với những người tạm vắng trong suốt thời gian điều tra, điều tra viên có thể hỏi những người khác trong hộ, hoặc dựa vào những tài liệu do người thân hoặc chính quyền cung cấp để ghi phiếu điều tra. </w:t>
            </w:r>
          </w:p>
          <w:p w14:paraId="1916ECDD"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Khi thu thập các thông tin về nhà ở, điều tra viên hỏi người cung cấp thông tin kết hợp với quan sát trực tiếp ngôi nhà hoặc căn hộ để ghi câu trả lời vào phiếu điều tra.</w:t>
            </w:r>
          </w:p>
          <w:p w14:paraId="1F899123"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Hộ tự cung cấp thông tin trên Trang thông tin điện tử của Tổng điều tra: Hộ được cấp tài khoản và mật khẩu để đăng nhập và tự cung cấp thông tin vào phiếu điều tra trên Trang thông tin điện tử của Tổng điều tra (viết gọn và phiếu trực tuyến). Phuonwg pháp tự cung cấp thông tin được áp dụng đối với phiếu ngắn.</w:t>
            </w:r>
          </w:p>
          <w:p w14:paraId="60E54013" w14:textId="7B919DB0" w:rsidR="0035311B" w:rsidRPr="009F305C" w:rsidRDefault="00133263" w:rsidP="00133263">
            <w:r>
              <w:rPr>
                <w:rFonts w:eastAsia="Times New Roman"/>
                <w:sz w:val="24"/>
                <w:szCs w:val="24"/>
                <w:lang w:val="nl-NL"/>
              </w:rPr>
              <w:t xml:space="preserve">Thông tin chi tiết về phương án điều tra theo đường link sau: </w:t>
            </w:r>
            <w:r w:rsidRPr="00203B94">
              <w:rPr>
                <w:rFonts w:eastAsia="Times New Roman"/>
                <w:sz w:val="24"/>
                <w:szCs w:val="24"/>
                <w:lang w:val="nl-NL"/>
              </w:rPr>
              <w:t>https://www.gso.gov.vn/wp-content/uploads/2021/03/2.Phuong-an-TDT-2019.pdf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3D61B3E" w:rsidR="0035311B" w:rsidRPr="009F305C" w:rsidRDefault="00133263" w:rsidP="009F305C">
            <w:r w:rsidRPr="00BC7A23">
              <w:rPr>
                <w:rFonts w:eastAsia="Times New Roman"/>
                <w:bCs/>
                <w:sz w:val="24"/>
                <w:szCs w:val="24"/>
              </w:rPr>
              <w:t>Chu kỳ 10 năm, ngày 01 tháng 4 (tiến hành vào các năm có số tận cùng là 9).</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07E377" w:rsidR="0035311B" w:rsidRPr="009F305C" w:rsidRDefault="00133263" w:rsidP="009F305C">
            <w:r>
              <w:rPr>
                <w:rFonts w:eastAsia="Times New Roman"/>
                <w:bCs/>
                <w:sz w:val="24"/>
                <w:szCs w:val="24"/>
              </w:rPr>
              <w:t>10</w:t>
            </w:r>
            <w:r w:rsidRPr="00C714A7">
              <w:rPr>
                <w:rFonts w:eastAsia="Times New Roman"/>
                <w:bCs/>
                <w:sz w:val="24"/>
                <w:szCs w:val="24"/>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03CDC0A" w:rsidR="0035311B"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56591CD" w:rsidR="0035311B"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DC81D99" w:rsidR="007F2D9F" w:rsidRPr="009F305C" w:rsidRDefault="00133263" w:rsidP="009F305C">
            <w:r w:rsidRPr="00C714A7">
              <w:rPr>
                <w:rFonts w:eastAsia="Times New Roman"/>
                <w:sz w:val="24"/>
                <w:szCs w:val="24"/>
                <w:lang w:eastAsia="vi-VN"/>
              </w:rPr>
              <w:t>Tỷ số tử vong mẹ còn gọi là “Tỷ s</w:t>
            </w:r>
            <w:r>
              <w:rPr>
                <w:rFonts w:eastAsia="Times New Roman"/>
                <w:sz w:val="24"/>
                <w:szCs w:val="24"/>
                <w:lang w:eastAsia="vi-VN"/>
              </w:rPr>
              <w:t>uất</w:t>
            </w:r>
            <w:r w:rsidRPr="00C714A7">
              <w:rPr>
                <w:rFonts w:eastAsia="Times New Roman"/>
                <w:sz w:val="24"/>
                <w:szCs w:val="24"/>
                <w:lang w:eastAsia="vi-VN"/>
              </w:rPr>
              <w:t xml:space="preserve"> chết mẹ” là một trong những chỉ tiêu phản ánh mức độ tử vong khi mang thai và sinh đẻ</w:t>
            </w:r>
            <w:r w:rsidRPr="00C714A7">
              <w:rPr>
                <w:rFonts w:eastAsia="Times New Roman"/>
                <w:sz w:val="24"/>
                <w:szCs w:val="24"/>
                <w:shd w:val="clear" w:color="auto" w:fill="FFFFFF"/>
              </w:rPr>
              <w:t xml:space="preserve">. </w:t>
            </w:r>
            <w:r>
              <w:rPr>
                <w:rFonts w:eastAsia="Times New Roman"/>
                <w:sz w:val="24"/>
                <w:szCs w:val="24"/>
                <w:lang w:eastAsia="vi-VN"/>
              </w:rPr>
              <w:t xml:space="preserve">Chỉ tiêu này tiếp tục được thực hiện từ </w:t>
            </w:r>
            <w:r w:rsidRPr="00C714A7">
              <w:rPr>
                <w:rFonts w:eastAsia="Times New Roman"/>
                <w:sz w:val="24"/>
                <w:szCs w:val="24"/>
                <w:lang w:eastAsia="vi-VN"/>
              </w:rPr>
              <w:t xml:space="preserve">Mục tiêu Phát triển Thiên niên kỷ số 5 - Cải thiện sức khỏe bà mẹ. Nó đánh giá tính hiệu quả của hệ thống y tế trong việc cung cấp dịch vụ chăm sóc sức khỏe bà mẹ thông qua việc dự phòng và giải quyết các biến chứng xảy ra trong khi mang thai và sinh đẻ cho bà mẹ. Đây cũng là chỉ tiêu sử dụng để </w:t>
            </w:r>
            <w:r w:rsidRPr="00C714A7">
              <w:rPr>
                <w:rFonts w:eastAsia="Times New Roman"/>
                <w:sz w:val="24"/>
                <w:szCs w:val="24"/>
              </w:rPr>
              <w:t xml:space="preserve">theo dõi, đánh giá các chương trình chăm sóc sức khỏe bà mẹ trước, trong và sau sinh ở các cấp và còn là chỉ tiêu đánh giá mức độ phát triển kinh tế- xã hội của một khu vực, quốc gia.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7A47FF9" w14:textId="77777777" w:rsidR="007F2D9F" w:rsidRDefault="00E469AB" w:rsidP="009F305C">
            <w:pPr>
              <w:rPr>
                <w:rFonts w:ascii="Calibri" w:eastAsia="Times New Roman" w:hAnsi="Calibri" w:cs="Calibri"/>
              </w:rPr>
            </w:pPr>
            <w:r w:rsidRPr="00490C58">
              <w:rPr>
                <w:rFonts w:ascii="Calibri" w:eastAsia="Times New Roman" w:hAnsi="Calibri" w:cs="Calibri"/>
              </w:rPr>
              <w:t>Method of computation</w:t>
            </w:r>
          </w:p>
          <w:p w14:paraId="5A53B8A7" w14:textId="4A49C762" w:rsidR="00E469AB" w:rsidRPr="009F305C" w:rsidRDefault="00E469AB" w:rsidP="009F305C">
            <w:bookmarkStart w:id="25" w:name="_GoBack"/>
            <w:r>
              <w:rPr>
                <w:noProof/>
              </w:rPr>
              <w:drawing>
                <wp:inline distT="0" distB="0" distL="0" distR="0" wp14:anchorId="0B72E142" wp14:editId="32350B79">
                  <wp:extent cx="3576320" cy="1216025"/>
                  <wp:effectExtent l="0" t="0" r="508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21602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774D70" w14:textId="77777777" w:rsidR="00133263" w:rsidRPr="00C714A7" w:rsidRDefault="00133263" w:rsidP="00133263">
            <w:pPr>
              <w:rPr>
                <w:sz w:val="24"/>
                <w:szCs w:val="24"/>
              </w:rPr>
            </w:pPr>
            <w:r w:rsidRPr="00C714A7">
              <w:rPr>
                <w:sz w:val="24"/>
                <w:szCs w:val="24"/>
              </w:rPr>
              <w:t>Chỉ có số liệu của chỉ tiêu năm 2019 thông qua Tổng điều tra dân số và nhà ở.</w:t>
            </w:r>
          </w:p>
          <w:p w14:paraId="62E27F20" w14:textId="77777777" w:rsidR="00133263" w:rsidRDefault="00133263" w:rsidP="00133263">
            <w:pPr>
              <w:pStyle w:val="ListParagraph"/>
              <w:spacing w:before="120" w:after="120" w:line="240" w:lineRule="auto"/>
              <w:ind w:left="0"/>
              <w:jc w:val="both"/>
              <w:rPr>
                <w:rFonts w:ascii="Times New Roman"/>
                <w:sz w:val="24"/>
                <w:szCs w:val="24"/>
              </w:rPr>
            </w:pPr>
            <w:r w:rsidRPr="00C714A7">
              <w:rPr>
                <w:rFonts w:ascii="Times New Roman"/>
                <w:sz w:val="24"/>
                <w:szCs w:val="24"/>
              </w:rPr>
              <w:t>Kh</w:t>
            </w:r>
            <w:r w:rsidRPr="00C714A7">
              <w:rPr>
                <w:rFonts w:ascii="Times New Roman"/>
                <w:sz w:val="24"/>
                <w:szCs w:val="24"/>
              </w:rPr>
              <w:t>ô</w:t>
            </w:r>
            <w:r w:rsidRPr="00C714A7">
              <w:rPr>
                <w:rFonts w:ascii="Times New Roman"/>
                <w:sz w:val="24"/>
                <w:szCs w:val="24"/>
              </w:rPr>
              <w:t>ng c</w:t>
            </w:r>
            <w:r w:rsidRPr="00C714A7">
              <w:rPr>
                <w:rFonts w:ascii="Times New Roman"/>
                <w:sz w:val="24"/>
                <w:szCs w:val="24"/>
              </w:rPr>
              <w:t>ó</w:t>
            </w:r>
            <w:r w:rsidRPr="00C714A7">
              <w:rPr>
                <w:rFonts w:ascii="Times New Roman"/>
                <w:sz w:val="24"/>
                <w:szCs w:val="24"/>
              </w:rPr>
              <w:t xml:space="preserve"> s</w:t>
            </w:r>
            <w:r w:rsidRPr="00C714A7">
              <w:rPr>
                <w:rFonts w:ascii="Times New Roman"/>
                <w:sz w:val="24"/>
                <w:szCs w:val="24"/>
              </w:rPr>
              <w:t>ố</w:t>
            </w:r>
            <w:r w:rsidRPr="00C714A7">
              <w:rPr>
                <w:rFonts w:ascii="Times New Roman"/>
                <w:sz w:val="24"/>
                <w:szCs w:val="24"/>
              </w:rPr>
              <w:t xml:space="preserve"> li</w:t>
            </w:r>
            <w:r w:rsidRPr="00C714A7">
              <w:rPr>
                <w:rFonts w:ascii="Times New Roman"/>
                <w:sz w:val="24"/>
                <w:szCs w:val="24"/>
              </w:rPr>
              <w:t>ệ</w:t>
            </w:r>
            <w:r w:rsidRPr="00C714A7">
              <w:rPr>
                <w:rFonts w:ascii="Times New Roman"/>
                <w:sz w:val="24"/>
                <w:szCs w:val="24"/>
              </w:rPr>
              <w:t>u cho c</w:t>
            </w:r>
            <w:r w:rsidRPr="00C714A7">
              <w:rPr>
                <w:rFonts w:ascii="Times New Roman"/>
                <w:sz w:val="24"/>
                <w:szCs w:val="24"/>
              </w:rPr>
              <w:t>á</w:t>
            </w:r>
            <w:r w:rsidRPr="00C714A7">
              <w:rPr>
                <w:rFonts w:ascii="Times New Roman"/>
                <w:sz w:val="24"/>
                <w:szCs w:val="24"/>
              </w:rPr>
              <w:t>c ph</w:t>
            </w:r>
            <w:r w:rsidRPr="00C714A7">
              <w:rPr>
                <w:rFonts w:ascii="Times New Roman"/>
                <w:sz w:val="24"/>
                <w:szCs w:val="24"/>
              </w:rPr>
              <w:t>â</w:t>
            </w:r>
            <w:r w:rsidRPr="00C714A7">
              <w:rPr>
                <w:rFonts w:ascii="Times New Roman"/>
                <w:sz w:val="24"/>
                <w:szCs w:val="24"/>
              </w:rPr>
              <w:t>n t</w:t>
            </w:r>
            <w:r w:rsidRPr="00C714A7">
              <w:rPr>
                <w:rFonts w:ascii="Times New Roman"/>
                <w:sz w:val="24"/>
                <w:szCs w:val="24"/>
              </w:rPr>
              <w:t>ổ</w:t>
            </w:r>
            <w:r w:rsidRPr="00C714A7">
              <w:rPr>
                <w:rFonts w:ascii="Times New Roman"/>
                <w:sz w:val="24"/>
                <w:szCs w:val="24"/>
              </w:rPr>
              <w:t xml:space="preserve"> c</w:t>
            </w:r>
            <w:r w:rsidRPr="00C714A7">
              <w:rPr>
                <w:rFonts w:ascii="Times New Roman"/>
                <w:sz w:val="24"/>
                <w:szCs w:val="24"/>
              </w:rPr>
              <w:t>ủ</w:t>
            </w:r>
            <w:r w:rsidRPr="00C714A7">
              <w:rPr>
                <w:rFonts w:ascii="Times New Roman"/>
                <w:sz w:val="24"/>
                <w:szCs w:val="24"/>
              </w:rPr>
              <w:t>a ch</w:t>
            </w:r>
            <w:r w:rsidRPr="00C714A7">
              <w:rPr>
                <w:rFonts w:ascii="Times New Roman"/>
                <w:sz w:val="24"/>
                <w:szCs w:val="24"/>
              </w:rPr>
              <w:t>ỉ</w:t>
            </w:r>
            <w:r w:rsidRPr="00C714A7">
              <w:rPr>
                <w:rFonts w:ascii="Times New Roman"/>
                <w:sz w:val="24"/>
                <w:szCs w:val="24"/>
              </w:rPr>
              <w:t xml:space="preserve"> ti</w:t>
            </w:r>
            <w:r w:rsidRPr="00C714A7">
              <w:rPr>
                <w:rFonts w:ascii="Times New Roman"/>
                <w:sz w:val="24"/>
                <w:szCs w:val="24"/>
              </w:rPr>
              <w:t>ê</w:t>
            </w:r>
            <w:r w:rsidRPr="00C714A7">
              <w:rPr>
                <w:rFonts w:ascii="Times New Roman"/>
                <w:sz w:val="24"/>
                <w:szCs w:val="24"/>
              </w:rPr>
              <w:t>u n</w:t>
            </w:r>
            <w:r w:rsidRPr="00C714A7">
              <w:rPr>
                <w:rFonts w:ascii="Times New Roman"/>
                <w:sz w:val="24"/>
                <w:szCs w:val="24"/>
              </w:rPr>
              <w:t>à</w:t>
            </w:r>
            <w:r w:rsidRPr="00C714A7">
              <w:rPr>
                <w:rFonts w:ascii="Times New Roman"/>
                <w:sz w:val="24"/>
                <w:szCs w:val="24"/>
              </w:rPr>
              <w:t>y</w:t>
            </w:r>
          </w:p>
          <w:p w14:paraId="39185D77" w14:textId="2633ECBB" w:rsidR="00776312" w:rsidRPr="009F305C" w:rsidRDefault="00133263" w:rsidP="00133263">
            <w:r>
              <w:rPr>
                <w:rFonts w:ascii="Times New Roman"/>
                <w:sz w:val="24"/>
                <w:szCs w:val="24"/>
              </w:rPr>
              <w:t>(Ngu</w:t>
            </w:r>
            <w:r>
              <w:rPr>
                <w:rFonts w:ascii="Times New Roman"/>
                <w:sz w:val="24"/>
                <w:szCs w:val="24"/>
              </w:rPr>
              <w:t>ồ</w:t>
            </w:r>
            <w:r>
              <w:rPr>
                <w:rFonts w:ascii="Times New Roman"/>
                <w:sz w:val="24"/>
                <w:szCs w:val="24"/>
              </w:rPr>
              <w:t>n c</w:t>
            </w:r>
            <w:r>
              <w:rPr>
                <w:rFonts w:ascii="Times New Roman"/>
                <w:sz w:val="24"/>
                <w:szCs w:val="24"/>
              </w:rPr>
              <w:t>ô</w:t>
            </w:r>
            <w:r>
              <w:rPr>
                <w:rFonts w:ascii="Times New Roman"/>
                <w:sz w:val="24"/>
                <w:szCs w:val="24"/>
              </w:rPr>
              <w:t>ng b</w:t>
            </w:r>
            <w:r>
              <w:rPr>
                <w:rFonts w:ascii="Times New Roman"/>
                <w:sz w:val="24"/>
                <w:szCs w:val="24"/>
              </w:rPr>
              <w:t>ố</w:t>
            </w:r>
            <w:r>
              <w:rPr>
                <w:rFonts w:ascii="Times New Roman"/>
                <w:sz w:val="24"/>
                <w:szCs w:val="24"/>
              </w:rPr>
              <w:t>: K</w:t>
            </w:r>
            <w:r>
              <w:rPr>
                <w:rFonts w:ascii="Times New Roman"/>
                <w:sz w:val="24"/>
                <w:szCs w:val="24"/>
              </w:rPr>
              <w:t>ế</w:t>
            </w:r>
            <w:r>
              <w:rPr>
                <w:rFonts w:ascii="Times New Roman"/>
                <w:sz w:val="24"/>
                <w:szCs w:val="24"/>
              </w:rPr>
              <w:t>t qu</w:t>
            </w:r>
            <w:r>
              <w:rPr>
                <w:rFonts w:ascii="Times New Roman"/>
                <w:sz w:val="24"/>
                <w:szCs w:val="24"/>
              </w:rPr>
              <w:t>ả</w:t>
            </w:r>
            <w:r>
              <w:rPr>
                <w:rFonts w:ascii="Times New Roman"/>
                <w:sz w:val="24"/>
                <w:szCs w:val="24"/>
              </w:rPr>
              <w:t xml:space="preserve"> T</w:t>
            </w:r>
            <w:r>
              <w:rPr>
                <w:rFonts w:ascii="Times New Roman"/>
                <w:sz w:val="24"/>
                <w:szCs w:val="24"/>
              </w:rPr>
              <w:t>ổ</w:t>
            </w:r>
            <w:r>
              <w:rPr>
                <w:rFonts w:ascii="Times New Roman"/>
                <w:sz w:val="24"/>
                <w:szCs w:val="24"/>
              </w:rPr>
              <w:t xml:space="preserve">ng </w:t>
            </w:r>
            <w:r>
              <w:rPr>
                <w:rFonts w:ascii="Times New Roman"/>
                <w:sz w:val="24"/>
                <w:szCs w:val="24"/>
              </w:rPr>
              <w:t>đ</w:t>
            </w:r>
            <w:r>
              <w:rPr>
                <w:rFonts w:ascii="Times New Roman"/>
                <w:sz w:val="24"/>
                <w:szCs w:val="24"/>
              </w:rPr>
              <w:t>i</w:t>
            </w:r>
            <w:r>
              <w:rPr>
                <w:rFonts w:ascii="Times New Roman"/>
                <w:sz w:val="24"/>
                <w:szCs w:val="24"/>
              </w:rPr>
              <w:t>ề</w:t>
            </w:r>
            <w:r>
              <w:rPr>
                <w:rFonts w:ascii="Times New Roman"/>
                <w:sz w:val="24"/>
                <w:szCs w:val="24"/>
              </w:rPr>
              <w:t>u tra d</w:t>
            </w:r>
            <w:r>
              <w:rPr>
                <w:rFonts w:ascii="Times New Roman"/>
                <w:sz w:val="24"/>
                <w:szCs w:val="24"/>
              </w:rPr>
              <w:t>â</w:t>
            </w:r>
            <w:r>
              <w:rPr>
                <w:rFonts w:ascii="Times New Roman"/>
                <w:sz w:val="24"/>
                <w:szCs w:val="24"/>
              </w:rPr>
              <w:t>n s</w:t>
            </w:r>
            <w:r>
              <w:rPr>
                <w:rFonts w:ascii="Times New Roman"/>
                <w:sz w:val="24"/>
                <w:szCs w:val="24"/>
              </w:rPr>
              <w:t>ố</w:t>
            </w:r>
            <w:r>
              <w:rPr>
                <w:rFonts w:ascii="Times New Roman"/>
                <w:sz w:val="24"/>
                <w:szCs w:val="24"/>
              </w:rPr>
              <w:t xml:space="preserve"> v</w:t>
            </w:r>
            <w:r>
              <w:rPr>
                <w:rFonts w:ascii="Times New Roman"/>
                <w:sz w:val="24"/>
                <w:szCs w:val="24"/>
              </w:rPr>
              <w:t>à</w:t>
            </w:r>
            <w:r>
              <w:rPr>
                <w:rFonts w:ascii="Times New Roman"/>
                <w:sz w:val="24"/>
                <w:szCs w:val="24"/>
              </w:rPr>
              <w:t xml:space="preserve"> nh</w:t>
            </w:r>
            <w:r>
              <w:rPr>
                <w:rFonts w:ascii="Times New Roman"/>
                <w:sz w:val="24"/>
                <w:szCs w:val="24"/>
              </w:rPr>
              <w:t>à</w:t>
            </w:r>
            <w:r>
              <w:rPr>
                <w:rFonts w:ascii="Times New Roman"/>
                <w:sz w:val="24"/>
                <w:szCs w:val="24"/>
              </w:rPr>
              <w:t xml:space="preserve"> </w:t>
            </w:r>
            <w:r>
              <w:rPr>
                <w:rFonts w:ascii="Times New Roman"/>
                <w:sz w:val="24"/>
                <w:szCs w:val="24"/>
              </w:rPr>
              <w:t>ở</w:t>
            </w:r>
            <w:r>
              <w:rPr>
                <w:rFonts w:ascii="Times New Roman"/>
                <w:sz w:val="24"/>
                <w:szCs w:val="24"/>
              </w:rPr>
              <w:t xml:space="preserve"> 2019)</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BBC6DE4" w:rsidR="006A7EF1" w:rsidRPr="009F305C" w:rsidRDefault="00133263" w:rsidP="009F305C">
            <w:r w:rsidRPr="00C714A7">
              <w:rPr>
                <w:rFonts w:eastAsia="Times New Roman"/>
                <w:bCs/>
                <w:sz w:val="24"/>
                <w:szCs w:val="24"/>
                <w:lang w:val="nl-NL"/>
              </w:rPr>
              <w:t>Chỉ tiêu này phản ánh chỉ tiêu “</w:t>
            </w:r>
            <w:r w:rsidRPr="00C714A7">
              <w:rPr>
                <w:rFonts w:eastAsia="Times New Roman"/>
                <w:sz w:val="24"/>
                <w:szCs w:val="24"/>
                <w:lang w:val="nl-NL"/>
              </w:rPr>
              <w:t>3.1.1 Maternal mortality ratio” (Tỷ suất tử vong mẹ) của bộ chỉ tiêu phát triển bền vững toàn cầu. Nội dung chỉ tiêu này giống metadata quốc tế do vậy bảo đảm tính so sánh với dữ liệu/tiêu chuẩn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3E5BF9E" w14:textId="77777777" w:rsidR="00133263" w:rsidRPr="00C714A7" w:rsidRDefault="00133263" w:rsidP="00133263">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7FF4EF1B" w14:textId="77777777" w:rsidR="00133263" w:rsidRPr="00C714A7" w:rsidRDefault="00133263" w:rsidP="00133263">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7285CF6C" w:rsidR="006F104C" w:rsidRPr="009F305C" w:rsidRDefault="00133263" w:rsidP="00133263">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E469AB">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E469AB">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263"/>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C5BB8"/>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9AB"/>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133263"/>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9F56FC7E-E1A7-4204-A2CB-E2AA45A276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13</Pages>
  <Words>216111</Words>
  <Characters>1231839</Characters>
  <Application>Microsoft Office Word</Application>
  <DocSecurity>8</DocSecurity>
  <Lines>10265</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1445060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