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714D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714D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714D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714D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714D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714D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714D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714D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714D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714D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714D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714D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714D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73C1F0" w:rsidR="00B66AF3" w:rsidRDefault="00D557B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A2C830" w:rsidR="005377B9" w:rsidRPr="009F305C" w:rsidRDefault="001D635D" w:rsidP="009F305C">
            <w:r w:rsidRPr="00C714A7">
              <w:rPr>
                <w:rFonts w:eastAsia="Times New Roman"/>
                <w:sz w:val="24"/>
                <w:szCs w:val="24"/>
              </w:rPr>
              <w:t xml:space="preserve">Mục tiêu 3.7: Đạt được bao phủ chăm sóc sức khỏe toàn dân, bao gồm bảo vệ rủi ro tài chính, tiếp cận các dịch vụ chăm sóc sức khỏe, thuốc và vắc xin thiết yếu, an toàn, </w:t>
            </w:r>
            <w:r w:rsidRPr="00C714A7">
              <w:rPr>
                <w:rFonts w:eastAsia="Times New Roman"/>
                <w:sz w:val="24"/>
                <w:szCs w:val="24"/>
              </w:rPr>
              <w:lastRenderedPageBreak/>
              <w:t>hiệu quả, chất lượng, trong khả năng chi trả cho tất cả mọi người (Mục tiêu 3.8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8F48F70" w:rsidR="005377B9" w:rsidRPr="009F305C" w:rsidRDefault="001D635D" w:rsidP="009F305C">
            <w:bookmarkStart w:id="8" w:name="_Toc18938196"/>
            <w:r w:rsidRPr="00C714A7">
              <w:t>Chỉ tiêu 3.7.2. Tỷ lệ trẻ em dưới 1 tuổi được tiêm chủng đầy đủ các loại vắc xin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E06B1D9" w:rsidR="005377B9" w:rsidRPr="009F305C" w:rsidRDefault="00CA5835" w:rsidP="00D557B2">
            <w:r>
              <w:rPr>
                <w:rFonts w:eastAsia="Times New Roman"/>
                <w:bCs/>
                <w:sz w:val="24"/>
                <w:szCs w:val="24"/>
              </w:rPr>
              <w:t xml:space="preserve"> </w:t>
            </w:r>
            <w:r w:rsidR="00D557B2">
              <w:rPr>
                <w:rFonts w:eastAsia="Times New Roman"/>
                <w:bCs/>
                <w:sz w:val="24"/>
                <w:szCs w:val="24"/>
              </w:rPr>
              <w:t xml:space="preserve"> </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2E30195"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t>- Tiêm chủng đầy đủ là số trẻ em dưới 1 tuổi được tiêm (uống) đủ liều từng loại vắc xin phòng bệnh theo qui định của Chương trình Tiêm chủng mở rộng tính trên 100 trẻ trong diện tiêm chủng của một vùng, một địa phương.</w:t>
            </w:r>
          </w:p>
          <w:p w14:paraId="69C0A39F"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lastRenderedPageBreak/>
              <w:t>- Cụ thể là các loại vắc xin phòng bệnh trong chương trình Tiêm chủng mở rộng như sau:</w:t>
            </w:r>
          </w:p>
          <w:p w14:paraId="1E51EA39"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t>+ 1 liều vắc xin phòng bệnh Lao (BCG)</w:t>
            </w:r>
          </w:p>
          <w:p w14:paraId="47934FEB"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t>+ 3 liều vắc xin phòng viêm gan B</w:t>
            </w:r>
          </w:p>
          <w:p w14:paraId="796DC196"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t>+ 3 liều vắc xin phối hợp bạch hầu, ho gà, uốn ván, viêm gan b và viêm phổi, viêm màng não mủ do Hib (DPT-VGB-Hib)</w:t>
            </w:r>
          </w:p>
          <w:p w14:paraId="02A881D2"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t>+ 1 liều tiêm phòng bại liệt (bOPV) hoặc 3 liều uống vắc xin phòng bại liệt (bOPV)</w:t>
            </w:r>
          </w:p>
          <w:p w14:paraId="1588FF2D" w14:textId="77777777" w:rsidR="001D635D" w:rsidRPr="00C63F79" w:rsidRDefault="001D635D" w:rsidP="001D635D">
            <w:pPr>
              <w:spacing w:before="120" w:after="120"/>
              <w:rPr>
                <w:rFonts w:eastAsia="Times New Roman"/>
                <w:sz w:val="24"/>
                <w:szCs w:val="24"/>
                <w:lang w:val="pt-BR"/>
              </w:rPr>
            </w:pPr>
            <w:r w:rsidRPr="00C63F79">
              <w:rPr>
                <w:rFonts w:eastAsia="Times New Roman"/>
                <w:sz w:val="24"/>
                <w:szCs w:val="24"/>
                <w:lang w:val="pt-BR"/>
              </w:rPr>
              <w:t>+ 1 liều vắc xin phòng sởi.</w:t>
            </w:r>
          </w:p>
          <w:p w14:paraId="6C84E827" w14:textId="6A43BCAE" w:rsidR="0015178E" w:rsidRPr="00E109A4" w:rsidRDefault="001D635D" w:rsidP="007906CC">
            <w:pPr>
              <w:spacing w:before="120" w:after="120"/>
              <w:rPr>
                <w:rFonts w:eastAsia="Times New Roman"/>
                <w:sz w:val="24"/>
                <w:szCs w:val="24"/>
                <w:lang w:val="pt-BR"/>
              </w:rPr>
            </w:pPr>
            <w:r w:rsidRPr="00C63F79">
              <w:rPr>
                <w:rFonts w:eastAsia="Times New Roman"/>
                <w:sz w:val="24"/>
                <w:szCs w:val="24"/>
                <w:lang w:val="pt-BR"/>
              </w:rPr>
              <w:t>- Các vắc xin này phải được sử dụng đúng độ tuổi, đúng thời điểm và theo đúng cách thức (tiêm, uống)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419E98" w:rsidR="0015178E" w:rsidRPr="009F305C" w:rsidRDefault="00D557B2"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5BC663" w:rsidR="0015178E" w:rsidRPr="009F305C" w:rsidRDefault="00D557B2" w:rsidP="009F305C">
            <w:r>
              <w:rPr>
                <w:rFonts w:eastAsia="Times New Roman"/>
                <w:sz w:val="24"/>
                <w:szCs w:val="24"/>
              </w:rPr>
              <w:t xml:space="preserve"> </w:t>
            </w:r>
            <w:r w:rsidR="001D635D"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527C69E" w14:textId="77777777" w:rsidR="001D635D" w:rsidRPr="00C714A7" w:rsidRDefault="001D635D" w:rsidP="001D635D">
            <w:pPr>
              <w:spacing w:before="120" w:after="120"/>
              <w:rPr>
                <w:rFonts w:eastAsia="Times New Roman"/>
                <w:sz w:val="24"/>
                <w:szCs w:val="24"/>
              </w:rPr>
            </w:pPr>
            <w:r>
              <w:rPr>
                <w:rFonts w:eastAsia="Times New Roman"/>
                <w:sz w:val="24"/>
                <w:szCs w:val="24"/>
              </w:rPr>
              <w:t xml:space="preserve">- </w:t>
            </w:r>
            <w:r w:rsidRPr="00460DE3">
              <w:rPr>
                <w:rFonts w:eastAsia="Times New Roman"/>
                <w:sz w:val="24"/>
                <w:szCs w:val="24"/>
              </w:rPr>
              <w:t xml:space="preserve">Báo cáo định kỳ của cơ sở y tế - Chương trình Tiêm chủng mở rộng, Cục Y tế dự phòng </w:t>
            </w:r>
            <w:r>
              <w:rPr>
                <w:rFonts w:eastAsia="Times New Roman"/>
                <w:sz w:val="24"/>
                <w:szCs w:val="24"/>
              </w:rPr>
              <w:t>-Bộ Y tế;</w:t>
            </w:r>
          </w:p>
          <w:p w14:paraId="71FB7DA0" w14:textId="77777777" w:rsidR="001D635D" w:rsidRPr="00C714A7" w:rsidRDefault="001D635D" w:rsidP="001D635D">
            <w:pPr>
              <w:tabs>
                <w:tab w:val="left" w:pos="567"/>
              </w:tabs>
              <w:spacing w:before="120" w:after="120"/>
              <w:rPr>
                <w:rFonts w:eastAsia="Times New Roman"/>
                <w:sz w:val="24"/>
                <w:szCs w:val="24"/>
              </w:rPr>
            </w:pPr>
            <w:r w:rsidRPr="00C714A7">
              <w:rPr>
                <w:rFonts w:eastAsia="Times New Roman"/>
                <w:sz w:val="24"/>
                <w:szCs w:val="24"/>
              </w:rPr>
              <w:t>- Điều tra nhân khẩu học và sức khỏe;</w:t>
            </w:r>
          </w:p>
          <w:p w14:paraId="571CD33E" w14:textId="6D0C307A" w:rsidR="0035311B" w:rsidRPr="001D635D" w:rsidRDefault="001D635D" w:rsidP="001D635D">
            <w:pPr>
              <w:tabs>
                <w:tab w:val="left" w:pos="567"/>
              </w:tabs>
              <w:spacing w:before="120" w:after="120"/>
              <w:rPr>
                <w:rFonts w:eastAsia="Times New Roman"/>
                <w:snapToGrid w:val="0"/>
                <w:sz w:val="24"/>
                <w:szCs w:val="24"/>
                <w:lang w:val="pt-BR"/>
              </w:rPr>
            </w:pPr>
            <w:r w:rsidRPr="00C714A7">
              <w:rPr>
                <w:rFonts w:eastAsia="Times New Roman"/>
                <w:sz w:val="24"/>
                <w:szCs w:val="24"/>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2E3112" w14:textId="77777777" w:rsidR="001D635D" w:rsidRDefault="001D635D" w:rsidP="001D635D">
            <w:pPr>
              <w:spacing w:before="120" w:after="120"/>
              <w:rPr>
                <w:rFonts w:eastAsia="Times New Roman"/>
                <w:sz w:val="24"/>
                <w:szCs w:val="24"/>
                <w:lang w:val="nl-NL"/>
              </w:rPr>
            </w:pPr>
            <w:r>
              <w:rPr>
                <w:rFonts w:eastAsia="Times New Roman"/>
                <w:sz w:val="24"/>
                <w:szCs w:val="24"/>
                <w:lang w:val="nl-NL"/>
              </w:rPr>
              <w:t xml:space="preserve">* </w:t>
            </w:r>
            <w:r w:rsidRPr="00C714A7">
              <w:rPr>
                <w:rFonts w:eastAsia="Times New Roman"/>
                <w:sz w:val="24"/>
                <w:szCs w:val="24"/>
                <w:lang w:val="nl-NL"/>
              </w:rPr>
              <w:t>Bộ Y tế ban hành biểu mẫu báo cáo thống kê gửi các cơ sở y tế, Sở Y tế các tỉnh/thành phố trực thuộc Trung ương thu thập. Định kỳ, các cơ sở y tế, Sở Y tế gửi lại số liệu cho Bộ Y tế tổng hợp. Một đơn vị thuộc Bộ Y tếđược giao nhiệm tổng hợp số liệu từ cấp Sở gửi lên.</w:t>
            </w:r>
          </w:p>
          <w:p w14:paraId="411D3530" w14:textId="77777777" w:rsidR="001D635D" w:rsidRDefault="001D635D" w:rsidP="001D635D">
            <w:pPr>
              <w:spacing w:before="120" w:after="120"/>
              <w:rPr>
                <w:rFonts w:eastAsia="Times New Roman"/>
                <w:sz w:val="24"/>
                <w:szCs w:val="24"/>
                <w:lang w:val="nl-NL"/>
              </w:rPr>
            </w:pPr>
            <w:r>
              <w:rPr>
                <w:rFonts w:eastAsia="Times New Roman"/>
                <w:sz w:val="24"/>
                <w:szCs w:val="24"/>
                <w:lang w:val="nl-NL"/>
              </w:rPr>
              <w:lastRenderedPageBreak/>
              <w:t>* Ngoài ra, có thể thu thập qua Điều tra nhân khẩu học và sức khỏe chu kỳ 5 năm</w:t>
            </w:r>
            <w:r w:rsidRPr="0078702E">
              <w:rPr>
                <w:rFonts w:eastAsia="Times New Roman"/>
                <w:sz w:val="24"/>
                <w:szCs w:val="24"/>
                <w:lang w:val="nl-NL"/>
              </w:rPr>
              <w:t>, ngày 01 tháng 10 (tiến hành vào các năm có số tận cùng là 0 và 5).</w:t>
            </w:r>
          </w:p>
          <w:p w14:paraId="188E4E61" w14:textId="77777777" w:rsidR="001D635D" w:rsidRDefault="001D635D" w:rsidP="001D635D">
            <w:pPr>
              <w:spacing w:before="120" w:after="120"/>
              <w:rPr>
                <w:rFonts w:eastAsia="Times New Roman"/>
                <w:sz w:val="24"/>
                <w:szCs w:val="24"/>
                <w:lang w:val="nl-NL"/>
              </w:rPr>
            </w:pPr>
            <w:r>
              <w:rPr>
                <w:rFonts w:eastAsia="Times New Roman"/>
                <w:sz w:val="24"/>
                <w:szCs w:val="24"/>
                <w:lang w:val="nl-NL"/>
              </w:rPr>
              <w:t>Là cuộc điều tra chọn mẫu trong Chương trình điều tra thống kê quốc gia, thu thập thông tin về các nội dung sau:</w:t>
            </w:r>
          </w:p>
          <w:p w14:paraId="2661A4D9" w14:textId="77777777" w:rsidR="001D635D" w:rsidRPr="0078702E" w:rsidRDefault="001D635D" w:rsidP="001D635D">
            <w:pPr>
              <w:spacing w:before="120" w:after="120"/>
              <w:rPr>
                <w:rFonts w:eastAsia="Times New Roman"/>
                <w:sz w:val="24"/>
                <w:szCs w:val="24"/>
                <w:lang w:val="nl-NL"/>
              </w:rPr>
            </w:pPr>
            <w:r w:rsidRPr="0078702E">
              <w:rPr>
                <w:rFonts w:eastAsia="Times New Roman"/>
                <w:sz w:val="24"/>
                <w:szCs w:val="24"/>
                <w:lang w:val="nl-NL"/>
              </w:rPr>
              <w:t>- Đặc trưng đối tượng điều tra (hộ dân cư, cơ sở y tế);</w:t>
            </w:r>
          </w:p>
          <w:p w14:paraId="0AFDE8DC" w14:textId="77777777" w:rsidR="001D635D" w:rsidRPr="0078702E" w:rsidRDefault="001D635D" w:rsidP="001D635D">
            <w:pPr>
              <w:spacing w:before="120" w:after="120"/>
              <w:rPr>
                <w:rFonts w:eastAsia="Times New Roman"/>
                <w:sz w:val="24"/>
                <w:szCs w:val="24"/>
                <w:lang w:val="nl-NL"/>
              </w:rPr>
            </w:pPr>
            <w:r w:rsidRPr="0078702E">
              <w:rPr>
                <w:rFonts w:eastAsia="Times New Roman"/>
                <w:sz w:val="24"/>
                <w:szCs w:val="24"/>
                <w:lang w:val="nl-NL"/>
              </w:rPr>
              <w:t>- Lịch sử sinh đẻ;</w:t>
            </w:r>
          </w:p>
          <w:p w14:paraId="49DAF319" w14:textId="77777777" w:rsidR="001D635D" w:rsidRPr="0078702E" w:rsidRDefault="001D635D" w:rsidP="001D635D">
            <w:pPr>
              <w:spacing w:before="120" w:after="120"/>
              <w:rPr>
                <w:rFonts w:eastAsia="Times New Roman"/>
                <w:sz w:val="24"/>
                <w:szCs w:val="24"/>
                <w:lang w:val="nl-NL"/>
              </w:rPr>
            </w:pPr>
            <w:r w:rsidRPr="0078702E">
              <w:rPr>
                <w:rFonts w:eastAsia="Times New Roman"/>
                <w:sz w:val="24"/>
                <w:szCs w:val="24"/>
                <w:lang w:val="nl-NL"/>
              </w:rPr>
              <w:t>- Hiểu biết và sử dụng các biện pháp tránh thai;</w:t>
            </w:r>
          </w:p>
          <w:p w14:paraId="6FACE23E" w14:textId="77777777" w:rsidR="001D635D" w:rsidRPr="0078702E" w:rsidRDefault="001D635D" w:rsidP="001D635D">
            <w:pPr>
              <w:spacing w:before="120" w:after="120"/>
              <w:rPr>
                <w:rFonts w:eastAsia="Times New Roman"/>
                <w:sz w:val="24"/>
                <w:szCs w:val="24"/>
                <w:lang w:val="nl-NL"/>
              </w:rPr>
            </w:pPr>
            <w:r w:rsidRPr="0078702E">
              <w:rPr>
                <w:rFonts w:eastAsia="Times New Roman"/>
                <w:sz w:val="24"/>
                <w:szCs w:val="24"/>
                <w:lang w:val="nl-NL"/>
              </w:rPr>
              <w:t>- Chăm sóc thai sản, đỡ đẻ và nuôi dưỡng trẻ sơ sinh;</w:t>
            </w:r>
          </w:p>
          <w:p w14:paraId="56704E65" w14:textId="77777777" w:rsidR="001D635D" w:rsidRPr="0078702E" w:rsidRDefault="001D635D" w:rsidP="001D635D">
            <w:pPr>
              <w:spacing w:before="120" w:after="120"/>
              <w:rPr>
                <w:rFonts w:eastAsia="Times New Roman"/>
                <w:sz w:val="24"/>
                <w:szCs w:val="24"/>
                <w:lang w:val="nl-NL"/>
              </w:rPr>
            </w:pPr>
            <w:r w:rsidRPr="0078702E">
              <w:rPr>
                <w:rFonts w:eastAsia="Times New Roman"/>
                <w:sz w:val="24"/>
                <w:szCs w:val="24"/>
                <w:lang w:val="nl-NL"/>
              </w:rPr>
              <w:t>- Mức sinh mong muốn và các hành vi kế hoạch hóa gia đình;</w:t>
            </w:r>
          </w:p>
          <w:p w14:paraId="2D7C6BDC" w14:textId="77777777" w:rsidR="001D635D" w:rsidRPr="0078702E" w:rsidRDefault="001D635D" w:rsidP="001D635D">
            <w:pPr>
              <w:spacing w:before="120" w:after="120"/>
              <w:rPr>
                <w:rFonts w:eastAsia="Times New Roman"/>
                <w:sz w:val="24"/>
                <w:szCs w:val="24"/>
                <w:lang w:val="nl-NL"/>
              </w:rPr>
            </w:pPr>
            <w:r w:rsidRPr="0078702E">
              <w:rPr>
                <w:rFonts w:eastAsia="Times New Roman"/>
                <w:sz w:val="24"/>
                <w:szCs w:val="24"/>
                <w:lang w:val="nl-NL"/>
              </w:rPr>
              <w:t>- Hiểu biết về sàng lọc trước sinh, sàng lọc sơ sinh và ADDS;</w:t>
            </w:r>
          </w:p>
          <w:p w14:paraId="60E54013" w14:textId="62134BBB" w:rsidR="0035311B" w:rsidRPr="001D635D" w:rsidRDefault="001D635D" w:rsidP="001D635D">
            <w:pPr>
              <w:spacing w:before="120" w:after="120"/>
              <w:rPr>
                <w:rFonts w:eastAsia="Times New Roman"/>
                <w:sz w:val="24"/>
                <w:szCs w:val="24"/>
                <w:lang w:val="nl-NL"/>
              </w:rPr>
            </w:pPr>
            <w:r w:rsidRPr="0078702E">
              <w:rPr>
                <w:rFonts w:eastAsia="Times New Roman"/>
                <w:sz w:val="24"/>
                <w:szCs w:val="24"/>
                <w:lang w:val="nl-NL"/>
              </w:rPr>
              <w:t>- Khả năng tiếp cận dịch vụ</w:t>
            </w:r>
            <w:r>
              <w:rPr>
                <w:rFonts w:eastAsia="Times New Roman"/>
                <w:sz w:val="24"/>
                <w:szCs w:val="24"/>
                <w:lang w:val="nl-NL"/>
              </w:rPr>
              <w:t xml:space="preserve"> y tế và kế hoạch hóa gia đình;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56E04C3" w:rsidR="0035311B" w:rsidRPr="009F305C" w:rsidRDefault="00D557B2" w:rsidP="009F305C">
            <w:r>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B730C35" w14:textId="77777777" w:rsidR="001D635D" w:rsidRPr="006F6335" w:rsidRDefault="001D635D" w:rsidP="001D635D">
            <w:pPr>
              <w:tabs>
                <w:tab w:val="left" w:pos="1515"/>
              </w:tabs>
              <w:spacing w:before="120" w:after="120"/>
              <w:rPr>
                <w:rFonts w:eastAsia="Times New Roman"/>
                <w:sz w:val="24"/>
                <w:szCs w:val="24"/>
                <w:lang w:val="pt-BR"/>
              </w:rPr>
            </w:pPr>
            <w:r w:rsidRPr="006F6335">
              <w:rPr>
                <w:rFonts w:eastAsia="Times New Roman"/>
                <w:sz w:val="24"/>
                <w:szCs w:val="24"/>
                <w:lang w:val="pt-BR"/>
              </w:rPr>
              <w:t>- Tỷ lệ bao phủ của tiêm chủng được sử dụng nhằm giám sát mức độ bao phủ của dịch vụ tiêm chủng và hướng dẫn phòng chống dịch bệnh</w:t>
            </w:r>
            <w:r>
              <w:rPr>
                <w:rFonts w:eastAsia="Times New Roman"/>
                <w:sz w:val="24"/>
                <w:szCs w:val="24"/>
                <w:lang w:val="pt-BR"/>
              </w:rPr>
              <w:t>.</w:t>
            </w:r>
          </w:p>
          <w:p w14:paraId="37A8327C" w14:textId="77777777" w:rsidR="001D635D" w:rsidRPr="006F6335" w:rsidRDefault="001D635D" w:rsidP="001D635D">
            <w:pPr>
              <w:tabs>
                <w:tab w:val="left" w:pos="1515"/>
              </w:tabs>
              <w:spacing w:before="120" w:after="120"/>
              <w:rPr>
                <w:rFonts w:eastAsia="Times New Roman"/>
                <w:sz w:val="24"/>
                <w:szCs w:val="24"/>
                <w:lang w:val="pt-BR"/>
              </w:rPr>
            </w:pPr>
            <w:r w:rsidRPr="006F6335">
              <w:rPr>
                <w:rFonts w:eastAsia="Times New Roman"/>
                <w:sz w:val="24"/>
                <w:szCs w:val="24"/>
                <w:lang w:val="pt-BR"/>
              </w:rPr>
              <w:t xml:space="preserve">- Đây là chỉ tiêu phản ánh kết quả hoạt động của công tác tiêm chủng mở rộng, là căn cứ đánh giá tình hình phòng </w:t>
            </w:r>
            <w:r w:rsidRPr="006F6335">
              <w:rPr>
                <w:rFonts w:eastAsia="Times New Roman"/>
                <w:sz w:val="24"/>
                <w:szCs w:val="24"/>
                <w:lang w:val="pt-BR"/>
              </w:rPr>
              <w:lastRenderedPageBreak/>
              <w:t>chống dịch bệnh và chăm sóc sức khoẻ trẻ em của ngành Y tế.</w:t>
            </w:r>
          </w:p>
          <w:p w14:paraId="2E3517AC" w14:textId="4AA581CF" w:rsidR="007F2D9F" w:rsidRPr="009F305C" w:rsidRDefault="001D635D" w:rsidP="001D635D">
            <w:r w:rsidRPr="006F6335">
              <w:rPr>
                <w:rFonts w:eastAsia="Times New Roman"/>
                <w:sz w:val="24"/>
                <w:szCs w:val="24"/>
                <w:lang w:val="pt-BR"/>
              </w:rPr>
              <w:t>- Cung cấp thông tin cho tuyên truyền, vận động cộng đồng quan tâm đến tiêm phòng một số bệnh nguy hiểm cho trẻ,</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665760" w:rsidR="007F2D9F" w:rsidRPr="009F305C" w:rsidRDefault="001D635D" w:rsidP="00C86C27">
            <w:r>
              <w:rPr>
                <w:rFonts w:eastAsia="Times New Roman"/>
                <w:bCs/>
                <w:sz w:val="24"/>
                <w:szCs w:val="24"/>
              </w:rP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EBF7E8" w14:textId="77777777" w:rsidR="007F2D9F" w:rsidRDefault="00D714DC" w:rsidP="005B1538">
            <w:pPr>
              <w:rPr>
                <w:rFonts w:ascii="Calibri" w:eastAsia="Times New Roman" w:hAnsi="Calibri" w:cs="Calibri"/>
              </w:rPr>
            </w:pPr>
            <w:r w:rsidRPr="00490C58">
              <w:rPr>
                <w:rFonts w:ascii="Calibri" w:eastAsia="Times New Roman" w:hAnsi="Calibri" w:cs="Calibri"/>
              </w:rPr>
              <w:t>Method of computation</w:t>
            </w:r>
          </w:p>
          <w:p w14:paraId="5A53B8A7" w14:textId="2EA0B607" w:rsidR="00D714DC" w:rsidRPr="009F305C" w:rsidRDefault="00D714DC" w:rsidP="005B1538">
            <w:bookmarkStart w:id="26" w:name="_GoBack"/>
            <w:r>
              <w:rPr>
                <w:noProof/>
              </w:rPr>
              <w:drawing>
                <wp:inline distT="0" distB="0" distL="0" distR="0" wp14:anchorId="6673EA88" wp14:editId="7E8107D9">
                  <wp:extent cx="3576320" cy="1024255"/>
                  <wp:effectExtent l="0" t="0" r="508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7.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02425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6460B20" w14:textId="77777777" w:rsidR="001D635D" w:rsidRDefault="001D635D" w:rsidP="001D635D">
            <w:pPr>
              <w:tabs>
                <w:tab w:val="left" w:pos="1515"/>
              </w:tabs>
              <w:spacing w:before="120" w:after="120"/>
              <w:rPr>
                <w:rStyle w:val="Hyperlink"/>
                <w:rFonts w:eastAsia="Times New Roman"/>
                <w:color w:val="auto"/>
                <w:sz w:val="24"/>
                <w:szCs w:val="24"/>
                <w:u w:val="none"/>
              </w:rPr>
            </w:pPr>
            <w:r w:rsidRPr="00BC7A23">
              <w:rPr>
                <w:rStyle w:val="Hyperlink"/>
                <w:rFonts w:eastAsia="Times New Roman"/>
                <w:color w:val="auto"/>
                <w:sz w:val="24"/>
                <w:szCs w:val="24"/>
                <w:u w:val="none"/>
              </w:rPr>
              <w:t xml:space="preserve">Số </w:t>
            </w:r>
            <w:r>
              <w:rPr>
                <w:rStyle w:val="Hyperlink"/>
                <w:rFonts w:eastAsia="Times New Roman"/>
                <w:color w:val="auto"/>
                <w:sz w:val="24"/>
                <w:szCs w:val="24"/>
                <w:u w:val="none"/>
              </w:rPr>
              <w:t xml:space="preserve">liệu </w:t>
            </w:r>
            <w:r w:rsidRPr="00BC7A23">
              <w:rPr>
                <w:rStyle w:val="Hyperlink"/>
                <w:rFonts w:eastAsia="Times New Roman"/>
                <w:color w:val="auto"/>
                <w:sz w:val="24"/>
                <w:szCs w:val="24"/>
                <w:u w:val="none"/>
              </w:rPr>
              <w:t>có sẵn hàng năm từ 2013-2019</w:t>
            </w:r>
            <w:r>
              <w:rPr>
                <w:rStyle w:val="Hyperlink"/>
                <w:rFonts w:eastAsia="Times New Roman"/>
                <w:color w:val="auto"/>
                <w:sz w:val="24"/>
                <w:szCs w:val="24"/>
                <w:u w:val="none"/>
              </w:rPr>
              <w:t xml:space="preserve"> theo phân tổ vùng; tỉnh/thành phố trực thuộc Trung ương.</w:t>
            </w:r>
          </w:p>
          <w:p w14:paraId="39185D77" w14:textId="2825A55D" w:rsidR="00776312" w:rsidRPr="009F305C" w:rsidRDefault="001D635D" w:rsidP="001D635D">
            <w:r>
              <w:rPr>
                <w:rStyle w:val="Hyperlink"/>
                <w:rFonts w:eastAsia="Times New Roman"/>
                <w:color w:val="auto"/>
                <w:sz w:val="24"/>
                <w:szCs w:val="24"/>
                <w:u w:val="none"/>
              </w:rPr>
              <w:t>(Nguồn công bố: Niêm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1A9BE0E" w14:textId="77777777" w:rsidR="001D635D" w:rsidRDefault="001D635D" w:rsidP="001D635D">
            <w:pPr>
              <w:tabs>
                <w:tab w:val="left" w:pos="1515"/>
              </w:tabs>
              <w:spacing w:before="120" w:after="120"/>
              <w:rPr>
                <w:rFonts w:eastAsia="Times New Roman"/>
                <w:sz w:val="24"/>
                <w:szCs w:val="24"/>
              </w:rPr>
            </w:pPr>
            <w:r w:rsidRPr="00C714A7">
              <w:rPr>
                <w:rFonts w:eastAsia="Times New Roman"/>
                <w:bCs/>
                <w:sz w:val="24"/>
                <w:szCs w:val="24"/>
              </w:rPr>
              <w:t xml:space="preserve">Chỉ tiêu “3.7.2. </w:t>
            </w:r>
            <w:r w:rsidRPr="00C714A7">
              <w:rPr>
                <w:rFonts w:eastAsia="Times New Roman"/>
                <w:sz w:val="24"/>
                <w:szCs w:val="24"/>
              </w:rPr>
              <w:t xml:space="preserve">Tỷ lệ trẻ em dưới 1 tuổi được tiêm chủng đầy đủ các loại vắc xin” là một trong những chỉ tiêu </w:t>
            </w:r>
            <w:r>
              <w:rPr>
                <w:rFonts w:eastAsia="Times New Roman"/>
                <w:sz w:val="24"/>
                <w:szCs w:val="24"/>
              </w:rPr>
              <w:t xml:space="preserve">phản ánh </w:t>
            </w:r>
            <w:r w:rsidRPr="00C714A7">
              <w:rPr>
                <w:rFonts w:eastAsia="Times New Roman"/>
                <w:sz w:val="24"/>
                <w:szCs w:val="24"/>
              </w:rPr>
              <w:t>cho chỉ tiêu toàn cầu “3.b.1. Proportion of the target population covered by all vaccines included in their national programme”</w:t>
            </w:r>
            <w:r>
              <w:rPr>
                <w:rFonts w:eastAsia="Times New Roman"/>
                <w:sz w:val="24"/>
                <w:szCs w:val="24"/>
              </w:rPr>
              <w:t>.</w:t>
            </w:r>
          </w:p>
          <w:p w14:paraId="7104584D" w14:textId="37ECC9B9" w:rsidR="006A7EF1" w:rsidRPr="00C97ED0" w:rsidRDefault="001D635D" w:rsidP="001D635D">
            <w:pPr>
              <w:spacing w:before="120" w:after="120"/>
              <w:rPr>
                <w:rFonts w:eastAsia="Times New Roman"/>
                <w:sz w:val="24"/>
                <w:szCs w:val="24"/>
                <w:lang w:val="nl-NL"/>
              </w:rPr>
            </w:pPr>
            <w:r w:rsidRPr="00BC7A23">
              <w:rPr>
                <w:rFonts w:eastAsia="Times New Roman"/>
                <w:bCs/>
                <w:sz w:val="24"/>
                <w:szCs w:val="24"/>
              </w:rPr>
              <w:t>Nhóm dân số mục tiêu và mức độ đầy đủ của các loại vắc xin tùy thuộc vào từng quốc gia khác nhau, toàn cầu chưa có thống nhất chung, do đó chỉ tiêu này mặc dù đã được quy định cụ thể tại Việt Nam và phản ánh 1 phần của chỉ tiêu toàn cầu 3.b.1 nhưng chưa có series trong DSD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CF9CD5B" w14:textId="77777777" w:rsidR="001D635D" w:rsidRPr="00C714A7" w:rsidRDefault="001D635D" w:rsidP="001D635D">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590624F4" w:rsidR="006F104C" w:rsidRPr="009F305C" w:rsidRDefault="001D635D" w:rsidP="001D635D">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D714DC">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D714D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635D"/>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714DC"/>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9ADE86A-5359-4E68-A89C-C1E1D36BA3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TotalTime>
  <Pages>13</Pages>
  <Words>215922</Words>
  <Characters>1230757</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1443792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13</cp:revision>
  <cp:lastPrinted>2020-04-16T14:23:00Z</cp:lastPrinted>
  <dcterms:created xsi:type="dcterms:W3CDTF">2021-05-10T04:00:00Z</dcterms:created>
  <dcterms:modified xsi:type="dcterms:W3CDTF">2021-07-16T08:42:00Z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