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833A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833A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833A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833A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833A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833A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833A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833A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833A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833A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833A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833A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833A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A47621" w:rsidR="00B66AF3" w:rsidRDefault="000269A3"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71528B1" w:rsidR="005377B9" w:rsidRPr="009F305C" w:rsidRDefault="004024E4" w:rsidP="009F305C">
            <w:r w:rsidRPr="00C714A7">
              <w:rPr>
                <w:rFonts w:eastAsia="Times New Roman"/>
                <w:sz w:val="24"/>
                <w:szCs w:val="24"/>
                <w:lang w:eastAsia="zh-CN"/>
              </w:rPr>
              <w:t>Mục tiêu 6: Đảm bảo đầy đủ và quản lý bền vững tài nguyên nước và hệ thống vệ sinh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6246C4F9" w:rsidR="005377B9" w:rsidRPr="009F305C" w:rsidRDefault="00CB1C23" w:rsidP="009F305C">
            <w:r w:rsidRPr="00C714A7">
              <w:rPr>
                <w:rFonts w:eastAsia="Times New Roman"/>
                <w:sz w:val="24"/>
                <w:szCs w:val="24"/>
                <w:lang w:eastAsia="zh-CN"/>
              </w:rPr>
              <w:t>Mục tiêu 6.6: Đến năm 2030, bảo vệ và phục hồi các hệ sinh thái liên quan đến nước (mục tiêu 6.6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2CAA143" w:rsidR="005377B9" w:rsidRPr="00CB1C23" w:rsidRDefault="00CB1C23" w:rsidP="009F305C">
            <w:bookmarkStart w:id="8" w:name="_Toc15462036"/>
            <w:r w:rsidRPr="00CB1C23">
              <w:rPr>
                <w:rFonts w:eastAsia="Times New Roman"/>
                <w:bCs/>
                <w:sz w:val="24"/>
                <w:szCs w:val="24"/>
                <w:lang w:val="nl-NL" w:eastAsia="zh-CN"/>
              </w:rPr>
              <w:t xml:space="preserve">Chỉ tiêu 6.6.1. </w:t>
            </w:r>
            <w:r w:rsidRPr="00CB1C23">
              <w:rPr>
                <w:rFonts w:eastAsia="Times New Roman"/>
                <w:sz w:val="24"/>
                <w:szCs w:val="24"/>
                <w:lang w:val="de-DE" w:eastAsia="zh-CN"/>
              </w:rPr>
              <w:t>Tỷ lệ diện tích các khu bảo tồn thiên nhiên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6FC27B6" w:rsidR="003E7389" w:rsidRPr="00A223F4" w:rsidRDefault="00A223F4" w:rsidP="00A223F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6FCAB6D" w:rsidR="003E7389" w:rsidRPr="009647DF" w:rsidRDefault="00A223F4" w:rsidP="00A223F4">
            <w:pPr>
              <w:spacing w:before="120" w:after="120"/>
              <w:contextualSpacing/>
              <w:rPr>
                <w:rFonts w:eastAsia="Times New Roman"/>
                <w:sz w:val="24"/>
                <w:szCs w:val="24"/>
                <w:lang w:eastAsia="zh-CN"/>
              </w:rPr>
            </w:pPr>
            <w:r w:rsidRPr="005238FE">
              <w:rPr>
                <w:rFonts w:eastAsia="Times New Roman"/>
                <w:sz w:val="24"/>
                <w:szCs w:val="24"/>
                <w:lang w:eastAsia="zh-CN"/>
              </w:rPr>
              <w:t>Số 10 Tôn Thất Thuyết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8170530" w:rsidR="003E7389" w:rsidRPr="009F305C" w:rsidRDefault="00A223F4" w:rsidP="009F305C">
            <w:r w:rsidRPr="005238FE">
              <w:rPr>
                <w:rFonts w:eastAsia="Times New Roman"/>
                <w:sz w:val="24"/>
                <w:szCs w:val="24"/>
                <w:lang w:eastAsia="zh-CN"/>
              </w:rPr>
              <w:t>portal@monre.gov.vn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A79DD35" w14:textId="77777777" w:rsidR="00CB1C23" w:rsidRPr="00C714A7" w:rsidRDefault="00CB1C23" w:rsidP="00CB1C23">
            <w:pPr>
              <w:spacing w:before="120" w:after="120" w:line="240" w:lineRule="auto"/>
              <w:rPr>
                <w:rFonts w:eastAsia="Times New Roman"/>
                <w:sz w:val="24"/>
                <w:szCs w:val="24"/>
                <w:lang w:eastAsia="zh-CN"/>
              </w:rPr>
            </w:pPr>
            <w:r w:rsidRPr="00C714A7">
              <w:rPr>
                <w:rFonts w:eastAsia="Times New Roman"/>
                <w:sz w:val="24"/>
                <w:szCs w:val="24"/>
                <w:lang w:eastAsia="zh-CN"/>
              </w:rPr>
              <w:t>Khu bảo tồn thiên nhiên bao gồm: Vườn quốc gia, khu dự trữ thiên nhiên, khu bảo tồn loài - sinh cảnh và khu bảo vệ cảnh quan. Căn cứ vào mức độ đa dạng sinh học, quy mô diện tích, khu bảo tồn thiên nhiên được phân thành cấp quốc gia và cấp tỉnh để có chính sách quản lý, đầu tư phù hợp.</w:t>
            </w:r>
          </w:p>
          <w:p w14:paraId="702809C0" w14:textId="77777777" w:rsidR="00CB1C23" w:rsidRPr="00C714A7" w:rsidRDefault="00CB1C23" w:rsidP="00CB1C23">
            <w:pPr>
              <w:spacing w:before="120" w:after="120" w:line="240" w:lineRule="auto"/>
              <w:rPr>
                <w:rFonts w:eastAsia="Times New Roman"/>
                <w:sz w:val="24"/>
                <w:szCs w:val="24"/>
                <w:lang w:eastAsia="zh-CN"/>
              </w:rPr>
            </w:pPr>
            <w:r w:rsidRPr="00C714A7">
              <w:rPr>
                <w:rFonts w:eastAsia="Times New Roman"/>
                <w:sz w:val="24"/>
                <w:szCs w:val="24"/>
                <w:lang w:eastAsia="zh-CN"/>
              </w:rPr>
              <w:t xml:space="preserve">Vườn quốc gia, khu dự trữ thiên nhiên, khu bảo tồn loài - sinh cảnh và khu bảo vệ cảnh quan cấp quốc gia là các khu bảo tồn thiên nhiên đáp ứng các tiêu chí chủ yếu </w:t>
            </w:r>
            <w:r w:rsidRPr="00C714A7">
              <w:rPr>
                <w:rFonts w:eastAsia="Times New Roman"/>
                <w:sz w:val="24"/>
                <w:szCs w:val="24"/>
                <w:lang w:eastAsia="zh-CN"/>
              </w:rPr>
              <w:lastRenderedPageBreak/>
              <w:t>quy định tại khoản 2 Điều 17, khoản 2 Điều 18, khoản 2 Điều 19, Điều 20 của Luật Đa dạng sinh học.</w:t>
            </w:r>
          </w:p>
          <w:p w14:paraId="4B0B003D" w14:textId="77777777" w:rsidR="00CB1C23" w:rsidRPr="00C714A7" w:rsidRDefault="00CB1C23" w:rsidP="00CB1C23">
            <w:pPr>
              <w:spacing w:before="120" w:after="120" w:line="240" w:lineRule="auto"/>
              <w:rPr>
                <w:rFonts w:eastAsia="Times New Roman"/>
                <w:sz w:val="24"/>
                <w:szCs w:val="24"/>
                <w:lang w:eastAsia="zh-CN"/>
              </w:rPr>
            </w:pPr>
            <w:r w:rsidRPr="00C714A7">
              <w:rPr>
                <w:rFonts w:eastAsia="Times New Roman"/>
                <w:sz w:val="24"/>
                <w:szCs w:val="24"/>
                <w:lang w:eastAsia="zh-CN"/>
              </w:rPr>
              <w:t>Khu dự trữ thiên nhiên cấp tỉnh là khu thuộc quy hoạch bảo tồn đa dạng sinh học của tỉnh, thành phố trực thuộc Trung ương nhằm mục đích bảo tồn các hệ sinh thái tự nhiên trên địa bàn và đáp ứng các tiêu chí chủ yếu sau đây:</w:t>
            </w:r>
          </w:p>
          <w:p w14:paraId="0014F6CF" w14:textId="77777777" w:rsidR="00CB1C23" w:rsidRPr="00C714A7" w:rsidRDefault="00CB1C23" w:rsidP="00CB1C23">
            <w:pPr>
              <w:spacing w:before="120" w:after="120" w:line="240" w:lineRule="auto"/>
              <w:rPr>
                <w:rFonts w:eastAsia="Times New Roman"/>
                <w:sz w:val="24"/>
                <w:szCs w:val="24"/>
                <w:lang w:eastAsia="zh-CN"/>
              </w:rPr>
            </w:pPr>
            <w:r w:rsidRPr="00C714A7">
              <w:rPr>
                <w:rFonts w:eastAsia="Times New Roman"/>
                <w:sz w:val="24"/>
                <w:szCs w:val="24"/>
                <w:lang w:eastAsia="zh-CN"/>
              </w:rPr>
              <w:t>- Có hệ sinh thái tự nhiên quan trọng đối với địa phương, hệ sinh thái đặc thù hoặc đại diện cho các hệ sinh thái của địa phương đó;</w:t>
            </w:r>
          </w:p>
          <w:p w14:paraId="3F4D2416" w14:textId="77777777" w:rsidR="00CB1C23" w:rsidRPr="00C714A7" w:rsidRDefault="00CB1C23" w:rsidP="00CB1C23">
            <w:pPr>
              <w:spacing w:before="120" w:after="120" w:line="240" w:lineRule="auto"/>
              <w:rPr>
                <w:rFonts w:eastAsia="Times New Roman"/>
                <w:sz w:val="24"/>
                <w:szCs w:val="24"/>
                <w:lang w:eastAsia="zh-CN"/>
              </w:rPr>
            </w:pPr>
            <w:r w:rsidRPr="00C714A7">
              <w:rPr>
                <w:rFonts w:eastAsia="Times New Roman"/>
                <w:sz w:val="24"/>
                <w:szCs w:val="24"/>
                <w:lang w:eastAsia="zh-CN"/>
              </w:rPr>
              <w:t>- Có giá trị đặc biệt về sinh thái, môi trường phục vụ mục đích nghiên cứu khoa học, giáo dục, du lịch, nghỉ dưỡng.</w:t>
            </w:r>
          </w:p>
          <w:p w14:paraId="0D6E4560" w14:textId="77777777" w:rsidR="00CB1C23" w:rsidRPr="00C714A7" w:rsidRDefault="00CB1C23" w:rsidP="00CB1C23">
            <w:pPr>
              <w:spacing w:before="120" w:after="120" w:line="240" w:lineRule="auto"/>
              <w:rPr>
                <w:rFonts w:eastAsia="Times New Roman"/>
                <w:sz w:val="24"/>
                <w:szCs w:val="24"/>
                <w:lang w:eastAsia="zh-CN"/>
              </w:rPr>
            </w:pPr>
            <w:r w:rsidRPr="00C714A7">
              <w:rPr>
                <w:rFonts w:eastAsia="Times New Roman"/>
                <w:sz w:val="24"/>
                <w:szCs w:val="24"/>
                <w:lang w:eastAsia="zh-CN"/>
              </w:rPr>
              <w:t>Khu bảo tồn loài - sinh cảnh cấp tỉnh là khu thuộc quy hoạch bảo tồn đa dạng sinh học của tỉnh, thành phố trực thuộc Trung ương nhằm mục đích bảo tồn các loài hoang dã trên địa bàn và đáp ứng các tiêu chí chủ yếu sau đây:</w:t>
            </w:r>
          </w:p>
          <w:p w14:paraId="5A682BC5" w14:textId="77777777" w:rsidR="00CB1C23" w:rsidRPr="00C714A7" w:rsidRDefault="00CB1C23" w:rsidP="00CB1C23">
            <w:pPr>
              <w:spacing w:before="120" w:after="120" w:line="240" w:lineRule="auto"/>
              <w:rPr>
                <w:rFonts w:eastAsia="Times New Roman"/>
                <w:sz w:val="24"/>
                <w:szCs w:val="24"/>
                <w:lang w:eastAsia="zh-CN"/>
              </w:rPr>
            </w:pPr>
            <w:r w:rsidRPr="00C714A7">
              <w:rPr>
                <w:rFonts w:eastAsia="Times New Roman"/>
                <w:sz w:val="24"/>
                <w:szCs w:val="24"/>
                <w:lang w:eastAsia="zh-CN"/>
              </w:rPr>
              <w:t>- Là nơi sinh sống thường xuyên hoặc theo mùa của các loài hoang dã thuộc Danh mục cấm khai thác ngoài tự nhiên, nơi sinh sản, tránh rét của các loài di cư;</w:t>
            </w:r>
          </w:p>
          <w:p w14:paraId="696411BC" w14:textId="77777777" w:rsidR="00CB1C23" w:rsidRPr="00C714A7" w:rsidRDefault="00CB1C23" w:rsidP="00CB1C23">
            <w:pPr>
              <w:spacing w:before="120" w:after="120"/>
              <w:rPr>
                <w:rFonts w:eastAsia="Times New Roman"/>
                <w:sz w:val="24"/>
                <w:szCs w:val="24"/>
                <w:lang w:eastAsia="zh-CN"/>
              </w:rPr>
            </w:pPr>
            <w:r w:rsidRPr="00C714A7">
              <w:rPr>
                <w:rFonts w:eastAsia="Times New Roman"/>
                <w:sz w:val="24"/>
                <w:szCs w:val="24"/>
                <w:lang w:eastAsia="zh-CN"/>
              </w:rPr>
              <w:t>- Có giá trị đặc biệt về sinh thái, môi trường phục vụ mục đích nghiên cứu khoa học, giáo dục, du lịch, nghỉ dưỡng.</w:t>
            </w:r>
          </w:p>
          <w:p w14:paraId="3F094C16" w14:textId="77777777" w:rsidR="00CB1C23" w:rsidRPr="00C714A7" w:rsidRDefault="00CB1C23" w:rsidP="00CB1C23">
            <w:pPr>
              <w:spacing w:before="120" w:after="120"/>
              <w:rPr>
                <w:rFonts w:eastAsia="Times New Roman"/>
                <w:sz w:val="24"/>
                <w:szCs w:val="24"/>
                <w:lang w:eastAsia="zh-CN"/>
              </w:rPr>
            </w:pPr>
            <w:r w:rsidRPr="00C714A7">
              <w:rPr>
                <w:rFonts w:eastAsia="Times New Roman"/>
                <w:sz w:val="24"/>
                <w:szCs w:val="24"/>
                <w:lang w:eastAsia="zh-CN"/>
              </w:rPr>
              <w:t>Khu bảo vệ cảnh quan cấp tỉnh là khu thuộc quy hoạch bảo tồn đa dạng sinh học của tỉnh, thành phố trực thuộc Trung ương nhằm mục đích bảo vệ cảnh quan trên địa bàn và đáp ứng các tiêu chí chủ yếu sau đây:</w:t>
            </w:r>
          </w:p>
          <w:p w14:paraId="62B8CC52" w14:textId="77777777" w:rsidR="00CB1C23" w:rsidRPr="00C714A7" w:rsidRDefault="00CB1C23" w:rsidP="00CB1C23">
            <w:pPr>
              <w:spacing w:before="120" w:after="120"/>
              <w:rPr>
                <w:rFonts w:eastAsia="Times New Roman"/>
                <w:sz w:val="24"/>
                <w:szCs w:val="24"/>
                <w:lang w:eastAsia="zh-CN"/>
              </w:rPr>
            </w:pPr>
            <w:r w:rsidRPr="00C714A7">
              <w:rPr>
                <w:rFonts w:eastAsia="Times New Roman"/>
                <w:sz w:val="24"/>
                <w:szCs w:val="24"/>
                <w:lang w:eastAsia="zh-CN"/>
              </w:rPr>
              <w:t>- Có cảnh quan môi trường, nét đẹp, độc đáo của thiên nhiên nhưng không đáp ứng các tiêu chí thành lập khu bảo vệ cảnh quan cấp quốc gia;</w:t>
            </w:r>
          </w:p>
          <w:p w14:paraId="668347F1" w14:textId="77777777" w:rsidR="00CB1C23" w:rsidRPr="00C714A7" w:rsidRDefault="00CB1C23" w:rsidP="00CB1C23">
            <w:pPr>
              <w:spacing w:before="120" w:after="120"/>
              <w:rPr>
                <w:rFonts w:eastAsia="Times New Roman"/>
                <w:sz w:val="24"/>
                <w:szCs w:val="24"/>
                <w:lang w:eastAsia="zh-CN"/>
              </w:rPr>
            </w:pPr>
            <w:r w:rsidRPr="00C714A7">
              <w:rPr>
                <w:rFonts w:eastAsia="Times New Roman"/>
                <w:sz w:val="24"/>
                <w:szCs w:val="24"/>
                <w:lang w:eastAsia="zh-CN"/>
              </w:rPr>
              <w:t>- Có giá trị đặc biệt về sinh thái, môi trường phục vụ mục đích nghiên cứu khoa học, giáo dục, du lịch, nghỉ dưỡng.</w:t>
            </w:r>
          </w:p>
          <w:p w14:paraId="6C84E827" w14:textId="0AFB601E" w:rsidR="0015178E" w:rsidRPr="00770F48" w:rsidRDefault="00CB1C23" w:rsidP="00CB1C23">
            <w:pPr>
              <w:spacing w:before="120" w:after="120"/>
              <w:rPr>
                <w:rFonts w:eastAsia="Times New Roman"/>
                <w:sz w:val="24"/>
                <w:szCs w:val="24"/>
                <w:lang w:eastAsia="zh-CN"/>
              </w:rPr>
            </w:pPr>
            <w:r w:rsidRPr="00C714A7">
              <w:rPr>
                <w:rFonts w:eastAsia="Times New Roman"/>
                <w:sz w:val="24"/>
                <w:szCs w:val="24"/>
                <w:lang w:eastAsia="zh-CN"/>
              </w:rPr>
              <w:t>Tỷ lệ diện tích các khu bảo tồn thiên nhiên được tính bằng tỷ lệ phần trăm của tổng diện tích các khu bảo tồn thiên nhiên bao gồm cấp quốc gia và cấp tỉnh đã được công nhậ</w:t>
            </w:r>
            <w:r>
              <w:rPr>
                <w:rFonts w:eastAsia="Times New Roman"/>
                <w:sz w:val="24"/>
                <w:szCs w:val="24"/>
                <w:lang w:eastAsia="zh-CN"/>
              </w:rPr>
              <w:t>n trên tổng diện tích tự nhiên.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6B4AADAA" w:rsidR="0015178E" w:rsidRPr="009F305C" w:rsidRDefault="00CB1C23" w:rsidP="00735B03">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C7FC9AD" w:rsidR="0035311B" w:rsidRPr="00650E8B" w:rsidRDefault="00CB1C23" w:rsidP="00CB1C23">
            <w:pPr>
              <w:spacing w:before="120" w:after="120" w:line="240" w:lineRule="auto"/>
              <w:rPr>
                <w:rFonts w:eastAsia="Times New Roman"/>
                <w:sz w:val="24"/>
                <w:szCs w:val="24"/>
                <w:lang w:eastAsia="zh-CN"/>
              </w:rPr>
            </w:pPr>
            <w:r w:rsidRPr="00C714A7">
              <w:rPr>
                <w:rFonts w:eastAsia="Times New Roman"/>
                <w:sz w:val="24"/>
                <w:szCs w:val="24"/>
                <w:lang w:eastAsia="zh-CN"/>
              </w:rPr>
              <w:t>Chế độ</w:t>
            </w:r>
            <w:r>
              <w:rPr>
                <w:rFonts w:eastAsia="Times New Roman"/>
                <w:sz w:val="24"/>
                <w:szCs w:val="24"/>
                <w:lang w:eastAsia="zh-CN"/>
              </w:rPr>
              <w:t xml:space="preserve">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34488C1" w:rsidR="0035311B" w:rsidRPr="009F305C" w:rsidRDefault="00CB1C23" w:rsidP="00AC4488">
            <w:r w:rsidRPr="00C714A7">
              <w:rPr>
                <w:rFonts w:eastAsia="Times New Roman"/>
                <w:sz w:val="24"/>
                <w:szCs w:val="24"/>
                <w:lang w:eastAsia="zh-CN"/>
              </w:rPr>
              <w:t>Chỉ tiêu được tổng hợp từ biểu số 004.N/BCB-TNMT thuộc Chế độ báo cáo thống kê cấp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03C2597" w:rsidR="0035311B" w:rsidRPr="009F305C" w:rsidRDefault="0035311B" w:rsidP="002833BB"/>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C79427A" w:rsidR="0035311B" w:rsidRPr="00AC4488" w:rsidRDefault="00CB1C23" w:rsidP="00CB1C23">
            <w:pPr>
              <w:tabs>
                <w:tab w:val="left" w:pos="1515"/>
              </w:tabs>
              <w:spacing w:before="120" w:after="120" w:line="240" w:lineRule="auto"/>
              <w:rPr>
                <w:rFonts w:eastAsia="Times New Roman"/>
                <w:sz w:val="24"/>
                <w:szCs w:val="24"/>
                <w:lang w:val="pt-BR" w:eastAsia="zh-CN"/>
              </w:rPr>
            </w:pPr>
            <w:r>
              <w:rPr>
                <w:rFonts w:eastAsia="Times New Roman"/>
                <w:sz w:val="24"/>
                <w:szCs w:val="24"/>
                <w:lang w:val="pt-BR" w:eastAsia="zh-CN"/>
              </w:rPr>
              <w:t>5 n</w:t>
            </w:r>
            <w:r w:rsidR="00AC4488" w:rsidRPr="00C714A7">
              <w:rPr>
                <w:rFonts w:eastAsia="Times New Roman"/>
                <w:sz w:val="24"/>
                <w:szCs w:val="24"/>
                <w:lang w:val="pt-BR" w:eastAsia="zh-CN"/>
              </w:rPr>
              <w:t>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973B349" w:rsidR="0035311B" w:rsidRPr="00A223F4" w:rsidRDefault="00A223F4" w:rsidP="00A223F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0B7A57C" w:rsidR="0035311B" w:rsidRPr="00A223F4" w:rsidRDefault="00A223F4" w:rsidP="00A223F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1737E7F" w:rsidR="007F2D9F" w:rsidRPr="009F305C" w:rsidRDefault="00CB1C23" w:rsidP="00D3287C">
            <w:r w:rsidRPr="00C714A7">
              <w:rPr>
                <w:rFonts w:eastAsia="Times New Roman"/>
                <w:sz w:val="24"/>
                <w:szCs w:val="24"/>
                <w:lang w:val="pt-BR" w:eastAsia="zh-CN"/>
              </w:rPr>
              <w:t>Chỉ tiêu đánh giá quy mô, diện tích các khu bảo tồn thiên nhiên, là cơ sở để các cơ quan chức năng đưa ra các chính sách bảo vệ khu bảo tồn thiên nhiên một cách bền vững.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808ED63" w:rsidR="007F2D9F" w:rsidRPr="009F305C" w:rsidRDefault="007F2D9F" w:rsidP="00770F48"/>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903D483" w14:textId="77777777" w:rsidR="007F2D9F" w:rsidRDefault="00A833AF" w:rsidP="009F305C">
            <w:pPr>
              <w:rPr>
                <w:rFonts w:ascii="Calibri" w:eastAsia="Times New Roman" w:hAnsi="Calibri" w:cs="Calibri"/>
              </w:rPr>
            </w:pPr>
            <w:r w:rsidRPr="00490C58">
              <w:rPr>
                <w:rFonts w:ascii="Calibri" w:eastAsia="Times New Roman" w:hAnsi="Calibri" w:cs="Calibri"/>
              </w:rPr>
              <w:t>Method of computation</w:t>
            </w:r>
          </w:p>
          <w:p w14:paraId="5A53B8A7" w14:textId="1AEA980E" w:rsidR="00A833AF" w:rsidRPr="009F305C" w:rsidRDefault="00A833AF" w:rsidP="009F305C">
            <w:bookmarkStart w:id="26" w:name="_GoBack"/>
            <w:r>
              <w:rPr>
                <w:noProof/>
              </w:rPr>
              <w:drawing>
                <wp:inline distT="0" distB="0" distL="0" distR="0" wp14:anchorId="34D82276" wp14:editId="2E7F818A">
                  <wp:extent cx="3576320" cy="760730"/>
                  <wp:effectExtent l="0" t="0" r="5080"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6.6.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6073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0148AAF" w14:textId="77777777" w:rsidR="000C0B0E" w:rsidRDefault="000C0B0E" w:rsidP="000C0B0E">
            <w:pPr>
              <w:tabs>
                <w:tab w:val="left" w:pos="1515"/>
              </w:tabs>
              <w:spacing w:before="120" w:after="120"/>
              <w:rPr>
                <w:rFonts w:eastAsia="Times New Roman"/>
                <w:iCs/>
                <w:sz w:val="24"/>
                <w:szCs w:val="24"/>
                <w:lang w:eastAsia="zh-CN"/>
              </w:rPr>
            </w:pPr>
            <w:r>
              <w:rPr>
                <w:rFonts w:eastAsia="Times New Roman"/>
                <w:iCs/>
                <w:sz w:val="24"/>
                <w:szCs w:val="24"/>
                <w:lang w:eastAsia="zh-CN"/>
              </w:rPr>
              <w:t>C</w:t>
            </w:r>
            <w:r w:rsidRPr="00704F79">
              <w:rPr>
                <w:rFonts w:eastAsia="Times New Roman"/>
                <w:iCs/>
                <w:sz w:val="24"/>
                <w:szCs w:val="24"/>
                <w:lang w:eastAsia="zh-CN"/>
              </w:rPr>
              <w:t xml:space="preserve">hỉ có </w:t>
            </w:r>
            <w:r>
              <w:rPr>
                <w:rFonts w:eastAsia="Times New Roman"/>
                <w:iCs/>
                <w:sz w:val="24"/>
                <w:szCs w:val="24"/>
                <w:lang w:eastAsia="zh-CN"/>
              </w:rPr>
              <w:t xml:space="preserve">số liệu </w:t>
            </w:r>
            <w:r w:rsidRPr="00704F79">
              <w:rPr>
                <w:rFonts w:eastAsia="Times New Roman"/>
                <w:iCs/>
                <w:sz w:val="24"/>
                <w:szCs w:val="24"/>
                <w:lang w:eastAsia="zh-CN"/>
              </w:rPr>
              <w:t xml:space="preserve">chung năm </w:t>
            </w:r>
            <w:r>
              <w:rPr>
                <w:rFonts w:eastAsia="Times New Roman"/>
                <w:iCs/>
                <w:sz w:val="24"/>
                <w:szCs w:val="24"/>
                <w:lang w:eastAsia="zh-CN"/>
              </w:rPr>
              <w:t>2016 và 2019</w:t>
            </w:r>
          </w:p>
          <w:p w14:paraId="39185D77" w14:textId="6F193171" w:rsidR="00776312" w:rsidRPr="009F305C" w:rsidRDefault="000C0B0E" w:rsidP="000C0B0E">
            <w:r w:rsidRPr="002E2E50">
              <w:rPr>
                <w:iCs/>
                <w:sz w:val="24"/>
                <w:szCs w:val="24"/>
              </w:rPr>
              <w:t>(Nguồn công bố: Báo cáo quốc gia năm 2020 tiến độ 5 năm thực hiện các mục tiêu phát triển bền vững. Số liệu từ Bộ Tài nguyên và Môi trường)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9A06392" w:rsidR="006A7EF1" w:rsidRPr="009F305C" w:rsidRDefault="000C0B0E" w:rsidP="004C2EC5">
            <w:r w:rsidRPr="00C714A7">
              <w:rPr>
                <w:rFonts w:eastAsia="Times New Roman"/>
                <w:sz w:val="24"/>
                <w:szCs w:val="24"/>
                <w:lang w:val="pt-BR" w:eastAsia="zh-CN"/>
              </w:rPr>
              <w:t>Chỉ tiêu phản ánh các mục tiêu</w:t>
            </w:r>
            <w:r>
              <w:rPr>
                <w:rFonts w:eastAsia="Times New Roman"/>
                <w:sz w:val="24"/>
                <w:szCs w:val="24"/>
                <w:lang w:val="pt-BR" w:eastAsia="zh-CN"/>
              </w:rPr>
              <w:t xml:space="preserve"> </w:t>
            </w:r>
            <w:r w:rsidRPr="00C714A7">
              <w:rPr>
                <w:rFonts w:eastAsia="Times New Roman"/>
                <w:sz w:val="24"/>
                <w:szCs w:val="24"/>
                <w:lang w:val="pt-BR" w:eastAsia="zh-CN"/>
              </w:rPr>
              <w:t>phát triển bền vững của Việt Nam (mục tiêu 6.6</w:t>
            </w:r>
            <w:r>
              <w:rPr>
                <w:rFonts w:eastAsia="Times New Roman"/>
                <w:sz w:val="24"/>
                <w:szCs w:val="24"/>
                <w:lang w:val="pt-BR" w:eastAsia="zh-CN"/>
              </w:rPr>
              <w:t>), không có trong Bộ chỉ tiêu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017"/>
            </w:tblGrid>
            <w:tr w:rsidR="000C0B0E" w:rsidRPr="00C714A7" w14:paraId="53D44EC7" w14:textId="77777777" w:rsidTr="00DB5517">
              <w:tc>
                <w:tcPr>
                  <w:tcW w:w="9017" w:type="dxa"/>
                </w:tcPr>
                <w:p w14:paraId="1A4B3B44" w14:textId="77777777" w:rsidR="000C0B0E" w:rsidRPr="00C714A7" w:rsidRDefault="000C0B0E" w:rsidP="000C0B0E">
                  <w:pPr>
                    <w:spacing w:before="120" w:after="120" w:line="240"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xml:space="preserve">- </w:t>
                  </w:r>
                  <w:r w:rsidRPr="00C714A7">
                    <w:rPr>
                      <w:rFonts w:eastAsia="Times New Roman"/>
                      <w:sz w:val="24"/>
                      <w:szCs w:val="24"/>
                      <w:lang w:val="nl-NL" w:eastAsia="zh-CN"/>
                    </w:rPr>
                    <w:t>Nghị định số 60/2018/NĐ-CP ngày 20/4/2018 ban hành Chếđộ báo cáo thống kê cấp quốc gia</w:t>
                  </w:r>
                </w:p>
                <w:p w14:paraId="532D6037" w14:textId="77777777" w:rsidR="000C0B0E" w:rsidRDefault="000C0B0E" w:rsidP="000C0B0E">
                  <w:pPr>
                    <w:spacing w:before="120" w:after="120" w:line="240"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0ED106E2" w14:textId="77777777" w:rsidR="000C0B0E" w:rsidRPr="00C714A7" w:rsidRDefault="000C0B0E" w:rsidP="000C0B0E">
                  <w:pPr>
                    <w:spacing w:before="120" w:after="120" w:line="240" w:lineRule="auto"/>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xml:space="preserve">- </w:t>
                  </w:r>
                  <w:r w:rsidRPr="002E2E50">
                    <w:rPr>
                      <w:iCs/>
                      <w:sz w:val="24"/>
                      <w:szCs w:val="24"/>
                    </w:rPr>
                    <w:t>Báo cáo quốc gia năm 2020 tiến độ 5 năm thực hiện các mục tiêu phát triển bền vững</w:t>
                  </w:r>
                </w:p>
                <w:p w14:paraId="0401CAF8" w14:textId="77777777" w:rsidR="000C0B0E" w:rsidRPr="00C714A7" w:rsidRDefault="000C0B0E" w:rsidP="000C0B0E">
                  <w:pPr>
                    <w:spacing w:before="120" w:after="120" w:line="240" w:lineRule="auto"/>
                    <w:rPr>
                      <w:rFonts w:eastAsia="Times New Roman"/>
                      <w:sz w:val="24"/>
                      <w:szCs w:val="24"/>
                      <w:lang w:val="nl-NL" w:eastAsia="zh-CN"/>
                    </w:rPr>
                  </w:pPr>
                  <w:r w:rsidRPr="00C714A7">
                    <w:rPr>
                      <w:rFonts w:eastAsia="Times New Roman"/>
                      <w:sz w:val="24"/>
                      <w:szCs w:val="24"/>
                      <w:shd w:val="clear" w:color="auto" w:fill="FFFFFF"/>
                      <w:lang w:val="nl-NL" w:eastAsia="zh-CN"/>
                    </w:rPr>
                    <w:t xml:space="preserve">- </w:t>
                  </w:r>
                  <w:hyperlink r:id="rId22" w:history="1">
                    <w:r w:rsidRPr="00C714A7">
                      <w:rPr>
                        <w:rFonts w:eastAsia="Times New Roman"/>
                        <w:sz w:val="24"/>
                        <w:szCs w:val="24"/>
                        <w:u w:val="single"/>
                        <w:shd w:val="clear" w:color="auto" w:fill="FFFFFF"/>
                        <w:lang w:val="nl-NL" w:eastAsia="zh-CN"/>
                      </w:rPr>
                      <w:t>https://unstats.un.org/sdgs/metadata/</w:t>
                    </w:r>
                  </w:hyperlink>
                </w:p>
              </w:tc>
            </w:tr>
          </w:tbl>
          <w:p w14:paraId="127FB56F" w14:textId="55962834" w:rsidR="004024E4" w:rsidRPr="000C0B0E" w:rsidRDefault="004024E4" w:rsidP="000C0B0E">
            <w:pPr>
              <w:rPr>
                <w:sz w:val="24"/>
                <w:szCs w:val="24"/>
              </w:rPr>
            </w:pP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A223F4" w:rsidRDefault="00A223F4" w:rsidP="006B0512">
      <w:pPr>
        <w:spacing w:after="0" w:line="240" w:lineRule="auto"/>
      </w:pPr>
      <w:r>
        <w:separator/>
      </w:r>
    </w:p>
  </w:endnote>
  <w:endnote w:type="continuationSeparator" w:id="0">
    <w:p w14:paraId="0652DDFD" w14:textId="77777777" w:rsidR="00A223F4" w:rsidRDefault="00A223F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A223F4" w:rsidRDefault="00A223F4">
        <w:pPr>
          <w:pStyle w:val="Footer"/>
          <w:jc w:val="right"/>
        </w:pPr>
        <w:r>
          <w:fldChar w:fldCharType="begin"/>
        </w:r>
        <w:r>
          <w:instrText xml:space="preserve"> PAGE   \* MERGEFORMAT </w:instrText>
        </w:r>
        <w:r>
          <w:fldChar w:fldCharType="separate"/>
        </w:r>
        <w:r w:rsidR="00A833AF">
          <w:rPr>
            <w:noProof/>
          </w:rPr>
          <w:t>12</w:t>
        </w:r>
        <w:r>
          <w:rPr>
            <w:noProof/>
          </w:rPr>
          <w:fldChar w:fldCharType="end"/>
        </w:r>
      </w:p>
    </w:sdtContent>
  </w:sdt>
  <w:p w14:paraId="232AF3D4" w14:textId="77777777" w:rsidR="00A223F4" w:rsidRDefault="00A223F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A223F4" w:rsidRDefault="00A223F4">
        <w:pPr>
          <w:pStyle w:val="Footer"/>
          <w:jc w:val="right"/>
        </w:pPr>
        <w:r>
          <w:fldChar w:fldCharType="begin"/>
        </w:r>
        <w:r>
          <w:instrText xml:space="preserve"> PAGE   \* MERGEFORMAT </w:instrText>
        </w:r>
        <w:r>
          <w:fldChar w:fldCharType="separate"/>
        </w:r>
        <w:r w:rsidR="00A833AF">
          <w:rPr>
            <w:noProof/>
          </w:rPr>
          <w:t>1</w:t>
        </w:r>
        <w:r>
          <w:rPr>
            <w:noProof/>
          </w:rPr>
          <w:fldChar w:fldCharType="end"/>
        </w:r>
      </w:p>
    </w:sdtContent>
  </w:sdt>
  <w:p w14:paraId="52FF1B3E" w14:textId="77777777" w:rsidR="00A223F4" w:rsidRDefault="00A223F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A223F4" w:rsidRDefault="00A223F4" w:rsidP="006B0512">
      <w:pPr>
        <w:spacing w:after="0" w:line="240" w:lineRule="auto"/>
      </w:pPr>
      <w:r>
        <w:separator/>
      </w:r>
    </w:p>
  </w:footnote>
  <w:footnote w:type="continuationSeparator" w:id="0">
    <w:p w14:paraId="21AE062F" w14:textId="77777777" w:rsidR="00A223F4" w:rsidRDefault="00A223F4" w:rsidP="006B0512">
      <w:pPr>
        <w:spacing w:after="0" w:line="240" w:lineRule="auto"/>
      </w:pPr>
      <w:r>
        <w:continuationSeparator/>
      </w:r>
    </w:p>
  </w:footnote>
  <w:footnote w:id="1">
    <w:p w14:paraId="463C7A6C" w14:textId="3926C0D8" w:rsidR="00A223F4" w:rsidRPr="00B8102F" w:rsidRDefault="00A223F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B6F1849"/>
    <w:multiLevelType w:val="hybridMultilevel"/>
    <w:tmpl w:val="B1A6ADF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0DF4490"/>
    <w:multiLevelType w:val="hybridMultilevel"/>
    <w:tmpl w:val="3A285F2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1A86D14"/>
    <w:multiLevelType w:val="hybridMultilevel"/>
    <w:tmpl w:val="A644F59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3400E18"/>
    <w:multiLevelType w:val="multilevel"/>
    <w:tmpl w:val="59B01AE8"/>
    <w:lvl w:ilvl="0">
      <w:start w:val="6"/>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4">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A7468BB"/>
    <w:multiLevelType w:val="hybridMultilevel"/>
    <w:tmpl w:val="13DE802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ACE37D4"/>
    <w:multiLevelType w:val="hybridMultilevel"/>
    <w:tmpl w:val="FDD692E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C90145D"/>
    <w:multiLevelType w:val="hybridMultilevel"/>
    <w:tmpl w:val="DFA0B09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B857811"/>
    <w:multiLevelType w:val="hybridMultilevel"/>
    <w:tmpl w:val="D2D0F56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5D0B2845"/>
    <w:multiLevelType w:val="hybridMultilevel"/>
    <w:tmpl w:val="464E83A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74470F56"/>
    <w:multiLevelType w:val="hybridMultilevel"/>
    <w:tmpl w:val="24F05710"/>
    <w:lvl w:ilvl="0" w:tplc="0409000B">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num w:numId="1">
    <w:abstractNumId w:val="10"/>
  </w:num>
  <w:num w:numId="2">
    <w:abstractNumId w:val="4"/>
  </w:num>
  <w:num w:numId="3">
    <w:abstractNumId w:val="12"/>
  </w:num>
  <w:num w:numId="4">
    <w:abstractNumId w:val="8"/>
  </w:num>
  <w:num w:numId="5">
    <w:abstractNumId w:val="13"/>
  </w:num>
  <w:num w:numId="6">
    <w:abstractNumId w:val="7"/>
  </w:num>
  <w:num w:numId="7">
    <w:abstractNumId w:val="0"/>
  </w:num>
  <w:num w:numId="8">
    <w:abstractNumId w:val="1"/>
  </w:num>
  <w:num w:numId="9">
    <w:abstractNumId w:val="9"/>
  </w:num>
  <w:num w:numId="10">
    <w:abstractNumId w:val="5"/>
  </w:num>
  <w:num w:numId="11">
    <w:abstractNumId w:val="6"/>
  </w:num>
  <w:num w:numId="12">
    <w:abstractNumId w:val="11"/>
  </w:num>
  <w:num w:numId="13">
    <w:abstractNumId w:val="2"/>
  </w:num>
  <w:num w:numId="1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69A3"/>
    <w:rsid w:val="00042B85"/>
    <w:rsid w:val="000434EA"/>
    <w:rsid w:val="000639BB"/>
    <w:rsid w:val="000716CF"/>
    <w:rsid w:val="00073907"/>
    <w:rsid w:val="00091352"/>
    <w:rsid w:val="0009691A"/>
    <w:rsid w:val="00097108"/>
    <w:rsid w:val="000A24C4"/>
    <w:rsid w:val="000B1F92"/>
    <w:rsid w:val="000B6681"/>
    <w:rsid w:val="000C0B0E"/>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33BB"/>
    <w:rsid w:val="0029558C"/>
    <w:rsid w:val="002A631A"/>
    <w:rsid w:val="002A6E7E"/>
    <w:rsid w:val="002C065D"/>
    <w:rsid w:val="002C550A"/>
    <w:rsid w:val="002E449E"/>
    <w:rsid w:val="002E6DA3"/>
    <w:rsid w:val="00311822"/>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24E4"/>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2EC5"/>
    <w:rsid w:val="004C665C"/>
    <w:rsid w:val="004D6154"/>
    <w:rsid w:val="004D6719"/>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D4F88"/>
    <w:rsid w:val="005F5729"/>
    <w:rsid w:val="005F7B42"/>
    <w:rsid w:val="00604A6A"/>
    <w:rsid w:val="00611159"/>
    <w:rsid w:val="0061331D"/>
    <w:rsid w:val="00633477"/>
    <w:rsid w:val="00643134"/>
    <w:rsid w:val="006459EE"/>
    <w:rsid w:val="00650E8B"/>
    <w:rsid w:val="006560A4"/>
    <w:rsid w:val="0068379D"/>
    <w:rsid w:val="00693674"/>
    <w:rsid w:val="006A2B33"/>
    <w:rsid w:val="006A7EF1"/>
    <w:rsid w:val="006B0512"/>
    <w:rsid w:val="006B3527"/>
    <w:rsid w:val="006C075C"/>
    <w:rsid w:val="006C6768"/>
    <w:rsid w:val="006C783E"/>
    <w:rsid w:val="006E1A7D"/>
    <w:rsid w:val="006F104C"/>
    <w:rsid w:val="006F2038"/>
    <w:rsid w:val="006F50E8"/>
    <w:rsid w:val="007100BD"/>
    <w:rsid w:val="00735B03"/>
    <w:rsid w:val="00736C17"/>
    <w:rsid w:val="00736C4F"/>
    <w:rsid w:val="00751373"/>
    <w:rsid w:val="00770F48"/>
    <w:rsid w:val="00772DE4"/>
    <w:rsid w:val="0077584C"/>
    <w:rsid w:val="00776312"/>
    <w:rsid w:val="00791932"/>
    <w:rsid w:val="007A078A"/>
    <w:rsid w:val="007A2617"/>
    <w:rsid w:val="007A28BA"/>
    <w:rsid w:val="007B2E39"/>
    <w:rsid w:val="007C2733"/>
    <w:rsid w:val="007C630F"/>
    <w:rsid w:val="007C63C4"/>
    <w:rsid w:val="007E4EE0"/>
    <w:rsid w:val="007F0E8A"/>
    <w:rsid w:val="007F2D9F"/>
    <w:rsid w:val="007F5448"/>
    <w:rsid w:val="007F6520"/>
    <w:rsid w:val="00806D18"/>
    <w:rsid w:val="00810C60"/>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7DF"/>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23F4"/>
    <w:rsid w:val="00A242D8"/>
    <w:rsid w:val="00A3532A"/>
    <w:rsid w:val="00A35656"/>
    <w:rsid w:val="00A36E8B"/>
    <w:rsid w:val="00A4314D"/>
    <w:rsid w:val="00A5114C"/>
    <w:rsid w:val="00A64C04"/>
    <w:rsid w:val="00A67357"/>
    <w:rsid w:val="00A804A0"/>
    <w:rsid w:val="00A833AF"/>
    <w:rsid w:val="00A91915"/>
    <w:rsid w:val="00A92C73"/>
    <w:rsid w:val="00AA38A9"/>
    <w:rsid w:val="00AB65AE"/>
    <w:rsid w:val="00AC4488"/>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1C23"/>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0A32"/>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AC4488"/>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CF062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documentManagement/types"/>
    <ds:schemaRef ds:uri="http://purl.org/dc/terms/"/>
    <ds:schemaRef ds:uri="http://schemas.microsoft.com/office/2006/metadata/properties"/>
    <ds:schemaRef ds:uri="http://www.w3.org/XML/1998/namespace"/>
    <ds:schemaRef ds:uri="efb7f1d3-2f00-4f20-b7f7-b4cd1648c34e"/>
    <ds:schemaRef ds:uri="http://schemas.microsoft.com/office/infopath/2007/PartnerControls"/>
    <ds:schemaRef ds:uri="http://schemas.openxmlformats.org/package/2006/metadata/core-properties"/>
    <ds:schemaRef ds:uri="331bc5fa-37a0-4eaf-92e6-e8f500860589"/>
    <ds:schemaRef ds:uri="http://purl.org/dc/dcmitype/"/>
    <ds:schemaRef ds:uri="http://purl.org/dc/elements/1.1/"/>
  </ds:schemaRefs>
</ds:datastoreItem>
</file>

<file path=customXml/itemProps4.xml><?xml version="1.0" encoding="utf-8"?>
<ds:datastoreItem xmlns:ds="http://schemas.openxmlformats.org/officeDocument/2006/customXml" ds:itemID="{C116A6BD-A6DE-4786-9384-05BB0148DE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12</Pages>
  <Words>215921</Words>
  <Characters>1230754</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1443788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2021-06-30T10:00:00Z</dcterms:created>
  <dcterms:modified xsi:type="dcterms:W3CDTF">2021-07-16T09:07:00Z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