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5A30786B" w:rsidR="006D23F0" w:rsidRPr="006D23F0" w:rsidRDefault="006D23F0" w:rsidP="006D23F0">
      <w:r>
        <w:t>1</w:t>
      </w:r>
      <w:r w:rsidR="00A57FDE">
        <w:t>1</w:t>
      </w:r>
      <w:bookmarkStart w:id="0" w:name="_GoBack"/>
      <w:bookmarkEnd w:id="0"/>
      <w:r>
        <w:t xml:space="preserve"> April 2020</w:t>
      </w:r>
    </w:p>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2176AC5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r>
              <w:rPr>
                <w:rStyle w:val="EndnoteReference"/>
                <w:rFonts w:ascii="Calibri" w:eastAsia="Times New Roman" w:hAnsi="Calibri" w:cs="Calibri"/>
                <w:color w:val="0563C1" w:themeColor="hyperlink"/>
                <w:u w:val="single"/>
              </w:rPr>
              <w:endnoteReference w:id="1"/>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924458">
            <w:pPr>
              <w:pStyle w:val="Heading5"/>
              <w:shd w:val="clear" w:color="auto" w:fill="F5F5F5"/>
              <w:spacing w:before="0" w:line="276" w:lineRule="auto"/>
              <w:contextualSpacing/>
              <w:rPr>
                <w:rFonts w:asciiTheme="minorHAnsi" w:hAnsiTheme="minorHAnsi"/>
                <w:b/>
                <w:bCs/>
                <w:color w:val="333333"/>
                <w:sz w:val="21"/>
                <w:szCs w:val="21"/>
              </w:rPr>
            </w:pPr>
            <w:r w:rsidRPr="00090AB4">
              <w:rPr>
                <w:rFonts w:asciiTheme="minorHAnsi" w:hAnsiTheme="minorHAnsi"/>
                <w:color w:val="333333"/>
                <w:sz w:val="21"/>
                <w:szCs w:val="21"/>
              </w:rP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1EA1173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r>
              <w:rPr>
                <w:rStyle w:val="EndnoteReference"/>
                <w:rFonts w:ascii="Calibri" w:eastAsia="Times New Roman" w:hAnsi="Calibri" w:cs="Calibri"/>
                <w:color w:val="0563C1" w:themeColor="hyperlink"/>
                <w:u w:val="single"/>
              </w:rPr>
              <w:endnoteReference w:id="2"/>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924458">
            <w:pPr>
              <w:pStyle w:val="Heading5"/>
              <w:shd w:val="clear" w:color="auto" w:fill="F5F5F5"/>
              <w:spacing w:before="0" w:line="276" w:lineRule="auto"/>
              <w:contextualSpacing/>
              <w:rPr>
                <w:rFonts w:asciiTheme="minorHAnsi" w:hAnsiTheme="minorHAnsi"/>
                <w:b/>
                <w:bCs/>
                <w:color w:val="333333"/>
                <w:sz w:val="21"/>
                <w:szCs w:val="21"/>
              </w:rPr>
            </w:pPr>
            <w:r w:rsidRPr="00090AB4">
              <w:rPr>
                <w:rFonts w:asciiTheme="minorHAnsi" w:hAnsiTheme="minorHAnsi"/>
                <w:color w:val="333333"/>
                <w:sz w:val="21"/>
                <w:szCs w:val="21"/>
              </w:rPr>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125D86A3"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r>
              <w:rPr>
                <w:rStyle w:val="EndnoteReference"/>
                <w:rFonts w:ascii="Calibri" w:eastAsia="Times New Roman" w:hAnsi="Calibri" w:cs="Calibri"/>
                <w:color w:val="000000"/>
              </w:rPr>
              <w:endnoteReference w:id="3"/>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924458">
            <w:pPr>
              <w:pStyle w:val="Heading2"/>
              <w:shd w:val="clear" w:color="auto" w:fill="F5F5F5"/>
              <w:spacing w:before="0" w:line="276" w:lineRule="auto"/>
              <w:contextualSpacing/>
              <w:rPr>
                <w:rFonts w:asciiTheme="minorHAnsi" w:hAnsiTheme="minorHAnsi"/>
                <w:b/>
                <w:bCs/>
                <w:color w:val="1C75BC"/>
                <w:sz w:val="24"/>
                <w:szCs w:val="24"/>
              </w:rPr>
            </w:pPr>
            <w:bookmarkStart w:id="5" w:name="_Toc455354698"/>
            <w:r w:rsidRPr="00090AB4">
              <w:rPr>
                <w:rFonts w:asciiTheme="minorHAnsi" w:hAnsiTheme="minorHAnsi"/>
                <w:color w:val="1C75BC"/>
                <w:sz w:val="24"/>
                <w:szCs w:val="24"/>
              </w:rPr>
              <w:t xml:space="preserve">Indicator </w:t>
            </w:r>
            <w:bookmarkEnd w:id="5"/>
            <w:r w:rsidRPr="00C0421E">
              <w:rPr>
                <w:rFonts w:asciiTheme="minorHAnsi" w:hAnsiTheme="minorHAnsi"/>
                <w:color w:val="1C75BC"/>
                <w:sz w:val="24"/>
                <w:szCs w:val="24"/>
              </w:rPr>
              <w:t>1.1.1</w:t>
            </w:r>
            <w:r>
              <w:rPr>
                <w:rFonts w:asciiTheme="minorHAnsi" w:hAnsiTheme="minorHAnsi"/>
                <w:color w:val="1C75BC"/>
                <w:sz w:val="24"/>
                <w:szCs w:val="24"/>
              </w:rPr>
              <w:t>:</w:t>
            </w:r>
            <w:r w:rsidRPr="00C0421E">
              <w:rPr>
                <w:rFonts w:asciiTheme="minorHAnsi" w:hAnsiTheme="minorHAnsi"/>
                <w:color w:val="1C75BC"/>
                <w:sz w:val="24"/>
                <w:szCs w:val="24"/>
              </w:rPr>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A8D0FF7"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r>
              <w:rPr>
                <w:rStyle w:val="EndnoteReference"/>
                <w:rFonts w:ascii="Calibri" w:eastAsia="Times New Roman" w:hAnsi="Calibri" w:cs="Calibri"/>
                <w:color w:val="0563C1" w:themeColor="hyperlink"/>
                <w:u w:val="single"/>
              </w:rPr>
              <w:endnoteReference w:id="4"/>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C22979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r>
              <w:rPr>
                <w:rStyle w:val="EndnoteReference"/>
                <w:rFonts w:ascii="Calibri" w:eastAsia="Times New Roman" w:hAnsi="Calibri" w:cs="Calibri"/>
                <w:color w:val="0563C1" w:themeColor="hyperlink"/>
                <w:u w:val="single"/>
              </w:rPr>
              <w:endnoteReference w:id="5"/>
            </w:r>
          </w:p>
        </w:tc>
        <w:tc>
          <w:tcPr>
            <w:tcW w:w="5804" w:type="dxa"/>
            <w:tcBorders>
              <w:top w:val="nil"/>
              <w:left w:val="nil"/>
              <w:bottom w:val="single" w:sz="4" w:space="0" w:color="auto"/>
              <w:right w:val="single" w:sz="4" w:space="0" w:color="auto"/>
            </w:tcBorders>
            <w:shd w:val="clear" w:color="auto" w:fill="auto"/>
          </w:tcPr>
          <w:p w14:paraId="143B0162" w14:textId="3B47300F" w:rsidR="00A36E8B" w:rsidRPr="007F4449" w:rsidRDefault="007F4449" w:rsidP="007F4449">
            <w:pPr>
              <w:pStyle w:val="Header"/>
              <w:rPr>
                <w:color w:val="595959" w:themeColor="text1" w:themeTint="A6"/>
                <w:sz w:val="18"/>
                <w:szCs w:val="18"/>
              </w:rPr>
            </w:pPr>
            <w:r w:rsidRPr="005F1DCC">
              <w:rPr>
                <w:color w:val="595959" w:themeColor="text1" w:themeTint="A6"/>
                <w:sz w:val="18"/>
                <w:szCs w:val="18"/>
              </w:rPr>
              <w:t>Last updated: 19 July 2016</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2B1A99C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r>
              <w:rPr>
                <w:rStyle w:val="EndnoteReference"/>
                <w:rFonts w:ascii="Calibri" w:eastAsia="Times New Roman" w:hAnsi="Calibri" w:cs="Calibri"/>
                <w:color w:val="0563C1" w:themeColor="hyperlink"/>
                <w:u w:val="single"/>
              </w:rPr>
              <w:endnoteReference w:id="6"/>
            </w:r>
          </w:p>
        </w:tc>
        <w:tc>
          <w:tcPr>
            <w:tcW w:w="5804" w:type="dxa"/>
            <w:tcBorders>
              <w:top w:val="nil"/>
              <w:left w:val="nil"/>
              <w:bottom w:val="single" w:sz="4" w:space="0" w:color="auto"/>
              <w:right w:val="single" w:sz="4" w:space="0" w:color="auto"/>
            </w:tcBorders>
            <w:shd w:val="clear" w:color="auto" w:fill="auto"/>
          </w:tcPr>
          <w:p w14:paraId="623BAD4B" w14:textId="7E79A4C0"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7"/>
                  <w:enabled/>
                  <w:calcOnExit w:val="0"/>
                  <w:textInput/>
                </w:ffData>
              </w:fldChar>
            </w:r>
            <w:r>
              <w:rPr>
                <w:rFonts w:ascii="Calibri" w:eastAsia="Times New Roman" w:hAnsi="Calibri" w:cs="Calibri"/>
                <w:color w:val="000000"/>
              </w:rPr>
              <w:instrText xml:space="preserve"> </w:instrText>
            </w:r>
            <w:bookmarkStart w:id="7" w:name="Text7"/>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7"/>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70D02A9D"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r>
              <w:rPr>
                <w:rStyle w:val="EndnoteReference"/>
                <w:rFonts w:ascii="Calibri" w:eastAsia="Times New Roman" w:hAnsi="Calibri" w:cs="Calibri"/>
                <w:color w:val="0563C1" w:themeColor="hyperlink"/>
                <w:u w:val="single"/>
              </w:rPr>
              <w:endnoteReference w:id="7"/>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924458">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Institutional information</w:t>
            </w:r>
          </w:p>
          <w:p w14:paraId="1B8D457D" w14:textId="77777777" w:rsidR="00924458" w:rsidRPr="00090AB4" w:rsidRDefault="00924458" w:rsidP="00924458">
            <w:pPr>
              <w:shd w:val="clear" w:color="auto" w:fill="FFFFFF"/>
              <w:spacing w:after="0"/>
              <w:contextualSpacing/>
              <w:rPr>
                <w:rStyle w:val="Strong"/>
                <w:rFonts w:cs="Times New Roman"/>
                <w:color w:val="4A4A4A"/>
                <w:sz w:val="21"/>
                <w:szCs w:val="21"/>
              </w:rPr>
            </w:pPr>
          </w:p>
          <w:p w14:paraId="15AF8AFA" w14:textId="77777777" w:rsidR="00924458" w:rsidRPr="00090AB4" w:rsidRDefault="00924458" w:rsidP="0092445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Organization(s):</w:t>
            </w:r>
          </w:p>
          <w:p w14:paraId="0A736600" w14:textId="77777777" w:rsidR="00924458" w:rsidRPr="00090AB4"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E0416B7" w14:textId="3D28BC50" w:rsidR="00A36E8B" w:rsidRPr="00924458"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2"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3"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6A74BEE6"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r>
              <w:rPr>
                <w:rStyle w:val="EndnoteReference"/>
                <w:rFonts w:ascii="Calibri" w:eastAsia="Times New Roman" w:hAnsi="Calibri" w:cs="Calibri"/>
                <w:color w:val="0563C1" w:themeColor="hyperlink"/>
                <w:u w:val="single"/>
              </w:rPr>
              <w:endnoteReference w:id="8"/>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4"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51FFF9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r>
              <w:rPr>
                <w:rStyle w:val="EndnoteReference"/>
                <w:rFonts w:ascii="Calibri" w:eastAsia="Times New Roman" w:hAnsi="Calibri" w:cs="Calibri"/>
                <w:color w:val="0563C1" w:themeColor="hyperlink"/>
                <w:u w:val="single"/>
              </w:rPr>
              <w:endnoteReference w:id="9"/>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5"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6049CDFB"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r>
              <w:rPr>
                <w:rStyle w:val="EndnoteReference"/>
                <w:rFonts w:ascii="Calibri" w:eastAsia="Times New Roman" w:hAnsi="Calibri" w:cs="Calibri"/>
                <w:color w:val="0563C1" w:themeColor="hyperlink"/>
                <w:u w:val="single"/>
              </w:rPr>
              <w:endnoteReference w:id="10"/>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6"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0346A8A2"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r>
              <w:rPr>
                <w:rStyle w:val="EndnoteReference"/>
                <w:rFonts w:ascii="Calibri" w:eastAsia="Times New Roman" w:hAnsi="Calibri" w:cs="Calibri"/>
                <w:color w:val="0563C1" w:themeColor="hyperlink"/>
                <w:u w:val="single"/>
              </w:rPr>
              <w:endnoteReference w:id="11"/>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7"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48BFF43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r>
              <w:rPr>
                <w:rStyle w:val="EndnoteReference"/>
                <w:rFonts w:ascii="Calibri" w:eastAsia="Times New Roman" w:hAnsi="Calibri" w:cs="Calibri"/>
                <w:color w:val="0563C1" w:themeColor="hyperlink"/>
                <w:u w:val="single"/>
              </w:rPr>
              <w:endnoteReference w:id="12"/>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8"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8"/>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1B44B863"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r>
              <w:rPr>
                <w:rStyle w:val="EndnoteReference"/>
                <w:rFonts w:ascii="Calibri" w:eastAsia="Times New Roman" w:hAnsi="Calibri" w:cs="Calibri"/>
                <w:color w:val="0563C1" w:themeColor="hyperlink"/>
                <w:u w:val="single"/>
              </w:rPr>
              <w:endnoteReference w:id="13"/>
            </w:r>
          </w:p>
        </w:tc>
        <w:tc>
          <w:tcPr>
            <w:tcW w:w="3247" w:type="pct"/>
            <w:tcBorders>
              <w:top w:val="single" w:sz="4" w:space="0" w:color="auto"/>
              <w:left w:val="nil"/>
              <w:bottom w:val="single" w:sz="4" w:space="0" w:color="auto"/>
              <w:right w:val="single" w:sz="4" w:space="0" w:color="auto"/>
            </w:tcBorders>
            <w:shd w:val="clear" w:color="auto" w:fill="auto"/>
          </w:tcPr>
          <w:p w14:paraId="2BF33FBD" w14:textId="77777777" w:rsidR="007E2E6A" w:rsidRPr="00090AB4" w:rsidRDefault="007E2E6A" w:rsidP="007E2E6A">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Concepts and definitions</w:t>
            </w:r>
          </w:p>
          <w:p w14:paraId="2DE10E3A" w14:textId="77777777" w:rsidR="007E2E6A" w:rsidRPr="00090AB4" w:rsidRDefault="007E2E6A" w:rsidP="007E2E6A">
            <w:pPr>
              <w:shd w:val="clear" w:color="auto" w:fill="FFFFFF"/>
              <w:spacing w:after="0"/>
              <w:contextualSpacing/>
              <w:rPr>
                <w:rStyle w:val="Strong"/>
                <w:rFonts w:cs="Times New Roman"/>
                <w:color w:val="4A4A4A"/>
                <w:sz w:val="21"/>
                <w:szCs w:val="21"/>
              </w:rPr>
            </w:pPr>
          </w:p>
          <w:p w14:paraId="2DEB955F" w14:textId="77777777"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lastRenderedPageBreak/>
              <w:t>Definition:</w:t>
            </w:r>
          </w:p>
          <w:p w14:paraId="41CE303C" w14:textId="77777777" w:rsidR="007E2E6A" w:rsidRPr="00090AB4" w:rsidRDefault="007E2E6A" w:rsidP="007E2E6A">
            <w:pPr>
              <w:shd w:val="clear" w:color="auto" w:fill="FFFFFF"/>
              <w:spacing w:after="0"/>
              <w:contextualSpacing/>
              <w:rPr>
                <w:rFonts w:cs="Times New Roman"/>
                <w:color w:val="4A4A4A"/>
                <w:sz w:val="21"/>
                <w:szCs w:val="21"/>
              </w:rPr>
            </w:pPr>
          </w:p>
          <w:p w14:paraId="1E1D35A8" w14:textId="77777777" w:rsidR="007E2E6A" w:rsidRPr="00090AB4" w:rsidRDefault="007E2E6A" w:rsidP="007E2E6A">
            <w:pPr>
              <w:shd w:val="clear" w:color="auto" w:fill="FFFFFF"/>
              <w:spacing w:after="0"/>
              <w:contextualSpacing/>
              <w:rPr>
                <w:color w:val="4A4A4A"/>
                <w:sz w:val="21"/>
                <w:szCs w:val="21"/>
              </w:rPr>
            </w:pPr>
            <w:r w:rsidRPr="00090AB4">
              <w:rPr>
                <w:rFonts w:cs="Times New Roman"/>
                <w:color w:val="4A4A4A"/>
                <w:sz w:val="21"/>
                <w:szCs w:val="21"/>
              </w:rPr>
              <w:t xml:space="preserve">The indicator </w:t>
            </w:r>
            <w:r>
              <w:rPr>
                <w:rFonts w:cs="Times New Roman"/>
                <w:color w:val="4A4A4A"/>
                <w:sz w:val="21"/>
                <w:szCs w:val="21"/>
              </w:rPr>
              <w:t>“p</w:t>
            </w:r>
            <w:r w:rsidRPr="00090AB4">
              <w:rPr>
                <w:rFonts w:cs="Times New Roman"/>
                <w:color w:val="4A4A4A"/>
                <w:sz w:val="21"/>
                <w:szCs w:val="21"/>
              </w:rPr>
              <w:t xml:space="preserve">roportion of </w:t>
            </w:r>
            <w:r>
              <w:rPr>
                <w:rFonts w:cs="Times New Roman"/>
                <w:color w:val="4A4A4A"/>
                <w:sz w:val="21"/>
                <w:szCs w:val="21"/>
              </w:rPr>
              <w:t xml:space="preserve">the </w:t>
            </w:r>
            <w:r w:rsidRPr="00090AB4">
              <w:rPr>
                <w:rFonts w:cs="Times New Roman"/>
                <w:color w:val="4A4A4A"/>
                <w:sz w:val="21"/>
                <w:szCs w:val="21"/>
              </w:rPr>
              <w:t>population below the international poverty line</w:t>
            </w:r>
            <w:r>
              <w:rPr>
                <w:rFonts w:cs="Times New Roman"/>
                <w:color w:val="4A4A4A"/>
                <w:sz w:val="21"/>
                <w:szCs w:val="21"/>
              </w:rPr>
              <w:t>”</w:t>
            </w:r>
            <w:r w:rsidRPr="00090AB4">
              <w:rPr>
                <w:rFonts w:cs="Times New Roman"/>
                <w:color w:val="4A4A4A"/>
                <w:sz w:val="21"/>
                <w:szCs w:val="21"/>
              </w:rPr>
              <w:t xml:space="preserve"> is defined as </w:t>
            </w:r>
            <w:r w:rsidRPr="00090AB4">
              <w:rPr>
                <w:color w:val="4A4A4A"/>
                <w:sz w:val="21"/>
                <w:szCs w:val="21"/>
              </w:rPr>
              <w:t xml:space="preserve">the percentage of the population living on less than $1.90 a day at 2011 international prices. The 'international poverty line' is currently set at $1.90 a day at 2011 international prices. </w:t>
            </w:r>
          </w:p>
          <w:p w14:paraId="3B123FEE" w14:textId="77777777" w:rsidR="003B3C76" w:rsidRDefault="003B3C76" w:rsidP="00462DB8">
            <w:pPr>
              <w:spacing w:after="0" w:line="240" w:lineRule="auto"/>
              <w:rPr>
                <w:rFonts w:ascii="Calibri" w:eastAsia="Times New Roman" w:hAnsi="Calibri" w:cs="Calibri"/>
                <w:color w:val="000000"/>
              </w:rPr>
            </w:pPr>
          </w:p>
          <w:p w14:paraId="462B6AE5" w14:textId="77777777"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Concepts:</w:t>
            </w:r>
          </w:p>
          <w:p w14:paraId="0AB0C071" w14:textId="77777777" w:rsidR="007E2E6A" w:rsidRPr="00090AB4" w:rsidRDefault="007E2E6A" w:rsidP="007E2E6A">
            <w:pPr>
              <w:shd w:val="clear" w:color="auto" w:fill="FFFFFF"/>
              <w:spacing w:after="0"/>
              <w:contextualSpacing/>
              <w:rPr>
                <w:rFonts w:cs="Times New Roman"/>
                <w:color w:val="4A4A4A"/>
                <w:sz w:val="21"/>
                <w:szCs w:val="21"/>
              </w:rPr>
            </w:pPr>
          </w:p>
          <w:p w14:paraId="39D35C15"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In assessing poverty in a given country, and how best to reduce poverty, one naturally focuses on a poverty line that is considered appropriate for that country. But how do we talk meaningfully about “global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7C8071D5"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7DA6E8AF" w14:textId="058BAB77" w:rsidR="007E2E6A" w:rsidRPr="007E2E6A"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PPPs, was chosen for World Development Report 1990 because it was typical of the poverty lines in low-income countries at the time. As differences in the cost of living across the world evolve, the international poverty line has to be periodically updated using new PPP price data to reflect these changes. The last change was in October 2015, when the World Bank adopted $1.90 as the international poverty line using the 2011 PPP. Prior to that, the 2008 update set the international poverty line at $1.25 using the 2005 PPP. Poverty measures based on international poverty lines attempt to hold the real value of the poverty line constant across countries, as is done when making comparisons over time. Early editions of the World Bank’s World Development Indicators (WDI) used PPPs from the Penn World Tables to convert values in local currency to equivalent purchasing power measured in </w:t>
            </w:r>
            <w:r w:rsidRPr="00090AB4">
              <w:rPr>
                <w:rFonts w:asciiTheme="minorHAnsi" w:hAnsiTheme="minorHAnsi"/>
                <w:color w:val="4A4A4A"/>
                <w:sz w:val="21"/>
                <w:szCs w:val="21"/>
              </w:rPr>
              <w:lastRenderedPageBreak/>
              <w:t>U.S dollars. Later editions used 1993, 2005, and 2011 consumption PPP estimates produced by the World Bank’s International Comparison Program (ICP).</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7AD8D456"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r>
              <w:rPr>
                <w:rStyle w:val="EndnoteReference"/>
                <w:rFonts w:ascii="Calibri" w:eastAsia="Times New Roman" w:hAnsi="Calibri" w:cs="Calibri"/>
                <w:color w:val="0563C1" w:themeColor="hyperlink"/>
                <w:u w:val="single"/>
              </w:rPr>
              <w:endnoteReference w:id="14"/>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3"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77421A0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r>
              <w:rPr>
                <w:rStyle w:val="EndnoteReference"/>
                <w:rFonts w:ascii="Calibri" w:eastAsia="Times New Roman" w:hAnsi="Calibri" w:cs="Calibri"/>
                <w:color w:val="0563C1" w:themeColor="hyperlink"/>
                <w:u w:val="single"/>
              </w:rPr>
              <w:endnoteReference w:id="15"/>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4"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5" w:name="_Toc36636923"/>
            <w:bookmarkStart w:id="26" w:name="_Toc36655611"/>
            <w:bookmarkStart w:id="27" w:name="_Toc36812574"/>
            <w:bookmarkStart w:id="28" w:name="_Toc36812687"/>
            <w:bookmarkStart w:id="29" w:name="_Toc36813074"/>
            <w:r w:rsidRPr="000149A9">
              <w:t>3</w:t>
            </w:r>
            <w:r w:rsidR="004C665C" w:rsidRPr="000149A9">
              <w:t>. Data source type and data collection method</w:t>
            </w:r>
            <w:bookmarkEnd w:id="25"/>
            <w:bookmarkEnd w:id="26"/>
            <w:bookmarkEnd w:id="27"/>
            <w:bookmarkEnd w:id="28"/>
            <w:bookmarkEnd w:id="2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E94757C"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r>
              <w:rPr>
                <w:rStyle w:val="EndnoteReference"/>
                <w:rFonts w:ascii="Calibri" w:eastAsia="Times New Roman" w:hAnsi="Calibri" w:cs="Calibri"/>
                <w:color w:val="0563C1" w:themeColor="hyperlink"/>
                <w:u w:val="single"/>
              </w:rPr>
              <w:endnoteReference w:id="16"/>
            </w:r>
          </w:p>
        </w:tc>
        <w:tc>
          <w:tcPr>
            <w:tcW w:w="3246" w:type="pct"/>
            <w:tcBorders>
              <w:top w:val="single" w:sz="4" w:space="0" w:color="auto"/>
              <w:left w:val="nil"/>
              <w:bottom w:val="single" w:sz="4" w:space="0" w:color="auto"/>
              <w:right w:val="single" w:sz="4" w:space="0" w:color="auto"/>
            </w:tcBorders>
            <w:shd w:val="clear" w:color="auto" w:fill="auto"/>
          </w:tcPr>
          <w:p w14:paraId="2382CC00" w14:textId="77777777" w:rsidR="005934B1" w:rsidRPr="00090AB4" w:rsidRDefault="005934B1" w:rsidP="005934B1">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Data Sources</w:t>
            </w:r>
          </w:p>
          <w:p w14:paraId="6BD8D1DF" w14:textId="77777777" w:rsidR="005934B1" w:rsidRPr="00090AB4" w:rsidRDefault="005934B1" w:rsidP="005934B1">
            <w:pPr>
              <w:shd w:val="clear" w:color="auto" w:fill="FFFFFF"/>
              <w:spacing w:after="0"/>
              <w:contextualSpacing/>
              <w:rPr>
                <w:rStyle w:val="Strong"/>
                <w:rFonts w:cs="Times New Roman"/>
                <w:color w:val="4A4A4A"/>
                <w:sz w:val="21"/>
                <w:szCs w:val="21"/>
              </w:rPr>
            </w:pPr>
          </w:p>
          <w:p w14:paraId="77F848DA" w14:textId="77777777" w:rsidR="005934B1" w:rsidRPr="00090AB4" w:rsidRDefault="005934B1" w:rsidP="005934B1">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Description:</w:t>
            </w:r>
          </w:p>
          <w:p w14:paraId="0B0FC251" w14:textId="77777777" w:rsidR="005934B1" w:rsidRPr="00090AB4" w:rsidRDefault="005934B1" w:rsidP="005934B1">
            <w:pPr>
              <w:shd w:val="clear" w:color="auto" w:fill="FFFFFF"/>
              <w:spacing w:after="0"/>
              <w:contextualSpacing/>
              <w:rPr>
                <w:rFonts w:cs="Times New Roman"/>
                <w:color w:val="4A4A4A"/>
                <w:sz w:val="21"/>
                <w:szCs w:val="21"/>
              </w:rPr>
            </w:pPr>
          </w:p>
          <w:p w14:paraId="769E5F49"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The World Bank typically receives data from National Statistical Offices (NSOs) directly. In other cases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r w:rsidRPr="00090AB4">
              <w:rPr>
                <w:rStyle w:val="apple-converted-space"/>
                <w:rFonts w:asciiTheme="minorHAnsi" w:hAnsiTheme="minorHAnsi"/>
                <w:color w:val="4A4A4A"/>
                <w:sz w:val="21"/>
                <w:szCs w:val="21"/>
              </w:rPr>
              <w:t xml:space="preserve"> </w:t>
            </w:r>
          </w:p>
          <w:p w14:paraId="34BA66C3"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6E050866"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Fonts w:asciiTheme="minorHAnsi" w:hAnsiTheme="minorHAnsi"/>
                <w:color w:val="4A4A4A"/>
                <w:sz w:val="21"/>
                <w:szCs w:val="21"/>
              </w:rPr>
              <w:t xml:space="preserve"> </w:t>
            </w:r>
          </w:p>
          <w:p w14:paraId="52202EC9"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7AFA711"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Within the World Bank, the Global Poverty Working Group (GPWG) is in charge of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are up to date, meet high-quality standards, and are well documented and consistent across dissemination channels. Members of GPWG generate and </w:t>
            </w:r>
            <w:r w:rsidRPr="00090AB4">
              <w:rPr>
                <w:rFonts w:asciiTheme="minorHAnsi" w:hAnsiTheme="minorHAnsi"/>
                <w:color w:val="4A4A4A"/>
                <w:sz w:val="21"/>
                <w:szCs w:val="21"/>
              </w:rPr>
              <w:lastRenderedPageBreak/>
              <w:t>update the estimates for the proportion of population below the international poverty line using raw data typically provided by country governments. The raw data are obtained by poverty economists through their contacts in the NSOs, and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has to construct the welfare aggregate or adjust the aggregate provided by the country.</w:t>
            </w:r>
          </w:p>
          <w:p w14:paraId="68A90D0B"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8663EFB" w14:textId="77777777" w:rsidR="005934B1" w:rsidRPr="00090AB4" w:rsidRDefault="005934B1" w:rsidP="005934B1">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List:</w:t>
            </w:r>
          </w:p>
          <w:p w14:paraId="458AF0CF" w14:textId="77777777" w:rsidR="005934B1" w:rsidRPr="00090AB4" w:rsidRDefault="005934B1" w:rsidP="005934B1">
            <w:pPr>
              <w:keepNext/>
              <w:keepLines/>
              <w:shd w:val="clear" w:color="auto" w:fill="FFFFFF"/>
              <w:spacing w:after="0"/>
              <w:contextualSpacing/>
              <w:rPr>
                <w:rFonts w:cs="Times New Roman"/>
                <w:color w:val="4A4A4A"/>
                <w:sz w:val="21"/>
                <w:szCs w:val="21"/>
              </w:rPr>
            </w:pPr>
          </w:p>
          <w:p w14:paraId="1EE62008" w14:textId="487AFC10" w:rsidR="00A3532A" w:rsidRPr="005934B1" w:rsidRDefault="005934B1" w:rsidP="005934B1">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Directly from National Statistical Offices (NSOs) or indirectly from others – see section on data sources.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4D96BE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r>
              <w:rPr>
                <w:rStyle w:val="EndnoteReference"/>
                <w:rFonts w:ascii="Calibri" w:eastAsia="Times New Roman" w:hAnsi="Calibri" w:cs="Calibri"/>
                <w:color w:val="0563C1" w:themeColor="hyperlink"/>
                <w:u w:val="single"/>
              </w:rPr>
              <w:endnoteReference w:id="17"/>
            </w:r>
          </w:p>
        </w:tc>
        <w:tc>
          <w:tcPr>
            <w:tcW w:w="3246" w:type="pct"/>
            <w:tcBorders>
              <w:top w:val="nil"/>
              <w:left w:val="nil"/>
              <w:bottom w:val="single" w:sz="4" w:space="0" w:color="auto"/>
              <w:right w:val="single" w:sz="4" w:space="0" w:color="auto"/>
            </w:tcBorders>
            <w:shd w:val="clear" w:color="auto" w:fill="auto"/>
          </w:tcPr>
          <w:p w14:paraId="61FCF860" w14:textId="77777777" w:rsidR="005934B1" w:rsidRPr="00090AB4" w:rsidRDefault="005934B1" w:rsidP="005934B1">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Collection process:</w:t>
            </w:r>
          </w:p>
          <w:p w14:paraId="40D15F5B" w14:textId="77777777" w:rsidR="005934B1" w:rsidRPr="00090AB4" w:rsidRDefault="005934B1" w:rsidP="005934B1">
            <w:pPr>
              <w:shd w:val="clear" w:color="auto" w:fill="FFFFFF"/>
              <w:spacing w:after="0"/>
              <w:contextualSpacing/>
              <w:rPr>
                <w:rFonts w:cs="Times New Roman"/>
                <w:color w:val="4A4A4A"/>
                <w:sz w:val="21"/>
                <w:szCs w:val="21"/>
              </w:rPr>
            </w:pPr>
          </w:p>
          <w:p w14:paraId="0136E6C1" w14:textId="31AE940D" w:rsidR="00AB65AE" w:rsidRPr="005934B1"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The World Bank transparently shares and makes public the methodologies for all kinds of adjustments to original data (e.g., through its PovcalNet website and its various analytical documents). The poverty estimates are developed by economists, who work closely with national government counterparts concerning each poverty data update.</w:t>
            </w:r>
            <w:r w:rsidRPr="00090AB4">
              <w:rPr>
                <w:rStyle w:val="apple-converted-space"/>
                <w:rFonts w:asciiTheme="minorHAnsi" w:hAnsiTheme="minorHAnsi"/>
                <w:color w:val="4A4A4A"/>
                <w:sz w:val="21"/>
                <w:szCs w:val="21"/>
              </w:rP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1497053" w:rsidR="00AB65AE" w:rsidRPr="004D68B6" w:rsidRDefault="00AB65AE" w:rsidP="00EC064B">
            <w:pPr>
              <w:spacing w:after="0" w:line="240" w:lineRule="auto"/>
              <w:rPr>
                <w:rFonts w:ascii="Calibri" w:eastAsia="Times New Roman" w:hAnsi="Calibri" w:cs="Calibri"/>
                <w:color w:val="000000"/>
              </w:rPr>
            </w:pPr>
            <w:r w:rsidRPr="00FA20D9">
              <w:t>3.d. Data collection calendar</w:t>
            </w:r>
            <w:r>
              <w:rPr>
                <w:rStyle w:val="EndnoteReference"/>
                <w:rFonts w:ascii="Calibri" w:eastAsia="Times New Roman" w:hAnsi="Calibri" w:cs="Calibri"/>
                <w:color w:val="0563C1" w:themeColor="hyperlink"/>
                <w:u w:val="single"/>
              </w:rPr>
              <w:endnoteReference w:id="18"/>
            </w:r>
          </w:p>
        </w:tc>
        <w:tc>
          <w:tcPr>
            <w:tcW w:w="3246" w:type="pct"/>
            <w:tcBorders>
              <w:top w:val="nil"/>
              <w:left w:val="nil"/>
              <w:bottom w:val="single" w:sz="4" w:space="0" w:color="auto"/>
              <w:right w:val="single" w:sz="4" w:space="0" w:color="auto"/>
            </w:tcBorders>
            <w:shd w:val="clear" w:color="auto" w:fill="auto"/>
          </w:tcPr>
          <w:p w14:paraId="350B274C" w14:textId="77777777" w:rsidR="00250A24" w:rsidRPr="00090AB4" w:rsidRDefault="00250A24" w:rsidP="00250A24">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Calendar</w:t>
            </w:r>
          </w:p>
          <w:p w14:paraId="07EF6FA5" w14:textId="77777777" w:rsidR="00250A24" w:rsidRPr="00090AB4" w:rsidRDefault="00250A24" w:rsidP="00250A24">
            <w:pPr>
              <w:shd w:val="clear" w:color="auto" w:fill="FFFFFF"/>
              <w:spacing w:after="0"/>
              <w:contextualSpacing/>
              <w:rPr>
                <w:rStyle w:val="Strong"/>
                <w:rFonts w:cs="Times New Roman"/>
                <w:color w:val="4A4A4A"/>
                <w:sz w:val="21"/>
                <w:szCs w:val="21"/>
              </w:rPr>
            </w:pPr>
          </w:p>
          <w:p w14:paraId="079AC90A" w14:textId="77777777" w:rsidR="00250A24" w:rsidRPr="00090AB4" w:rsidRDefault="00250A24" w:rsidP="00250A24">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Data collection:</w:t>
            </w:r>
          </w:p>
          <w:p w14:paraId="581F2BAB" w14:textId="77777777" w:rsidR="00250A24" w:rsidRPr="00090AB4" w:rsidRDefault="00250A24" w:rsidP="00250A24">
            <w:pPr>
              <w:shd w:val="clear" w:color="auto" w:fill="FFFFFF"/>
              <w:spacing w:after="0"/>
              <w:contextualSpacing/>
              <w:rPr>
                <w:rFonts w:cs="Times New Roman"/>
                <w:color w:val="4A4A4A"/>
                <w:sz w:val="21"/>
                <w:szCs w:val="21"/>
              </w:rPr>
            </w:pPr>
          </w:p>
          <w:p w14:paraId="5805C371" w14:textId="281A7D20" w:rsidR="00AB65AE" w:rsidRPr="00250A24" w:rsidRDefault="00250A24" w:rsidP="00250A2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Source collection is ongoing by the Global Poverty Working Group of the World Bank. The calculation of new poverty numbers using updated source data normally takes place from May to September every year.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6985B8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r>
              <w:rPr>
                <w:rStyle w:val="EndnoteReference"/>
                <w:rFonts w:ascii="Calibri" w:eastAsia="Times New Roman" w:hAnsi="Calibri" w:cs="Calibri"/>
                <w:color w:val="0563C1" w:themeColor="hyperlink"/>
                <w:u w:val="single"/>
              </w:rPr>
              <w:endnoteReference w:id="19"/>
            </w:r>
          </w:p>
        </w:tc>
        <w:tc>
          <w:tcPr>
            <w:tcW w:w="3246" w:type="pct"/>
            <w:tcBorders>
              <w:top w:val="nil"/>
              <w:left w:val="nil"/>
              <w:bottom w:val="single" w:sz="4" w:space="0" w:color="auto"/>
              <w:right w:val="single" w:sz="4" w:space="0" w:color="auto"/>
            </w:tcBorders>
            <w:shd w:val="clear" w:color="auto" w:fill="auto"/>
          </w:tcPr>
          <w:p w14:paraId="23916294" w14:textId="77777777" w:rsidR="00250A24" w:rsidRPr="00090AB4" w:rsidRDefault="00250A24" w:rsidP="00250A24">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Data release:</w:t>
            </w:r>
          </w:p>
          <w:p w14:paraId="1B7F989E" w14:textId="77777777" w:rsidR="00250A24" w:rsidRPr="00090AB4" w:rsidRDefault="00250A24" w:rsidP="00250A24">
            <w:pPr>
              <w:shd w:val="clear" w:color="auto" w:fill="FFFFFF"/>
              <w:spacing w:after="0"/>
              <w:contextualSpacing/>
              <w:rPr>
                <w:rFonts w:cs="Times New Roman"/>
                <w:color w:val="4A4A4A"/>
                <w:sz w:val="21"/>
                <w:szCs w:val="21"/>
              </w:rPr>
            </w:pPr>
          </w:p>
          <w:p w14:paraId="097FA4BD" w14:textId="2906EA20" w:rsidR="00AB65AE" w:rsidRPr="00250A24" w:rsidRDefault="00250A24" w:rsidP="00250A2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Group is committed to updating the poverty data every year. Updated estimates are released at the World Bank’s Annual Meetings in October every year.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CF5872D"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3.f. Data providers</w:t>
            </w:r>
            <w:r>
              <w:rPr>
                <w:rStyle w:val="EndnoteReference"/>
                <w:rFonts w:ascii="Calibri" w:eastAsia="Times New Roman" w:hAnsi="Calibri" w:cs="Calibri"/>
                <w:color w:val="0563C1" w:themeColor="hyperlink"/>
                <w:u w:val="single"/>
              </w:rPr>
              <w:endnoteReference w:id="20"/>
            </w:r>
          </w:p>
        </w:tc>
        <w:tc>
          <w:tcPr>
            <w:tcW w:w="3246" w:type="pct"/>
            <w:tcBorders>
              <w:top w:val="nil"/>
              <w:left w:val="nil"/>
              <w:bottom w:val="single" w:sz="4" w:space="0" w:color="auto"/>
              <w:right w:val="single" w:sz="4" w:space="0" w:color="auto"/>
            </w:tcBorders>
            <w:shd w:val="clear" w:color="auto" w:fill="auto"/>
          </w:tcPr>
          <w:p w14:paraId="12527E84" w14:textId="77777777" w:rsidR="00250A24" w:rsidRPr="00090AB4" w:rsidRDefault="00250A24" w:rsidP="00250A24">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Data providers</w:t>
            </w:r>
          </w:p>
          <w:p w14:paraId="01CC434E" w14:textId="77777777" w:rsidR="00250A24" w:rsidRPr="00090AB4" w:rsidRDefault="00250A24" w:rsidP="00250A24">
            <w:pPr>
              <w:keepNext/>
              <w:keepLines/>
              <w:shd w:val="clear" w:color="auto" w:fill="FFFFFF"/>
              <w:spacing w:after="0"/>
              <w:contextualSpacing/>
              <w:rPr>
                <w:rStyle w:val="Strong"/>
                <w:rFonts w:cs="Times New Roman"/>
                <w:color w:val="4A4A4A"/>
                <w:sz w:val="21"/>
                <w:szCs w:val="21"/>
              </w:rPr>
            </w:pPr>
          </w:p>
          <w:p w14:paraId="406AF515" w14:textId="6D9FBE19" w:rsidR="00AB65AE" w:rsidRPr="00250A24" w:rsidRDefault="00250A24" w:rsidP="00250A24">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The World Bank typically receives data from National Statistical Offices (NSOs) directly. In other cases it uses NSO data received indirectly. Please see the section on data sources for further details.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5B848A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r>
              <w:rPr>
                <w:rStyle w:val="EndnoteReference"/>
                <w:rFonts w:ascii="Calibri" w:eastAsia="Times New Roman" w:hAnsi="Calibri" w:cs="Calibri"/>
                <w:color w:val="0563C1" w:themeColor="hyperlink"/>
                <w:u w:val="single"/>
              </w:rPr>
              <w:endnoteReference w:id="21"/>
            </w:r>
          </w:p>
        </w:tc>
        <w:tc>
          <w:tcPr>
            <w:tcW w:w="3246" w:type="pct"/>
            <w:tcBorders>
              <w:top w:val="nil"/>
              <w:left w:val="nil"/>
              <w:bottom w:val="single" w:sz="4" w:space="0" w:color="auto"/>
              <w:right w:val="single" w:sz="4" w:space="0" w:color="auto"/>
            </w:tcBorders>
            <w:shd w:val="clear" w:color="auto" w:fill="auto"/>
          </w:tcPr>
          <w:p w14:paraId="424B571D" w14:textId="77777777" w:rsidR="00250A24" w:rsidRPr="00090AB4" w:rsidRDefault="00250A24" w:rsidP="00250A24">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Data compilers</w:t>
            </w:r>
          </w:p>
          <w:p w14:paraId="5F59D6AA" w14:textId="77777777" w:rsidR="00250A24" w:rsidRPr="00090AB4" w:rsidRDefault="00250A24" w:rsidP="00250A24">
            <w:pPr>
              <w:keepNext/>
              <w:keepLines/>
              <w:shd w:val="clear" w:color="auto" w:fill="FFFFFF"/>
              <w:spacing w:after="0"/>
              <w:contextualSpacing/>
              <w:rPr>
                <w:rFonts w:cs="Times New Roman"/>
                <w:color w:val="4A4A4A"/>
                <w:sz w:val="21"/>
                <w:szCs w:val="21"/>
              </w:rPr>
            </w:pPr>
          </w:p>
          <w:p w14:paraId="39191C53" w14:textId="436329C6" w:rsidR="00AB65AE" w:rsidRPr="00250A24" w:rsidRDefault="00250A24" w:rsidP="00250A24">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DC0ABC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r>
              <w:rPr>
                <w:rStyle w:val="EndnoteReference"/>
                <w:rFonts w:ascii="Calibri" w:eastAsia="Times New Roman" w:hAnsi="Calibri" w:cs="Calibri"/>
                <w:color w:val="0563C1" w:themeColor="hyperlink"/>
                <w:u w:val="single"/>
              </w:rPr>
              <w:endnoteReference w:id="22"/>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30"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0"/>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1" w:name="_Toc36655612"/>
            <w:bookmarkStart w:id="32" w:name="_Toc36812575"/>
            <w:bookmarkStart w:id="33" w:name="_Toc36812688"/>
            <w:bookmarkStart w:id="34" w:name="_Toc36813075"/>
            <w:r w:rsidRPr="007A28BA">
              <w:t>4</w:t>
            </w:r>
            <w:r w:rsidR="00F96E8D" w:rsidRPr="007A28BA">
              <w:t>. Other methodological considerations</w:t>
            </w:r>
            <w:bookmarkEnd w:id="31"/>
            <w:bookmarkEnd w:id="32"/>
            <w:bookmarkEnd w:id="33"/>
            <w:bookmarkEnd w:id="3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29480DA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r>
              <w:rPr>
                <w:rStyle w:val="EndnoteReference"/>
                <w:rFonts w:ascii="Calibri" w:eastAsia="Times New Roman" w:hAnsi="Calibri" w:cs="Calibri"/>
                <w:color w:val="0563C1" w:themeColor="hyperlink"/>
                <w:u w:val="single"/>
              </w:rPr>
              <w:endnoteReference w:id="23"/>
            </w:r>
          </w:p>
        </w:tc>
        <w:tc>
          <w:tcPr>
            <w:tcW w:w="3261" w:type="pct"/>
            <w:tcBorders>
              <w:top w:val="single" w:sz="4" w:space="0" w:color="auto"/>
              <w:left w:val="nil"/>
              <w:bottom w:val="single" w:sz="4" w:space="0" w:color="auto"/>
              <w:right w:val="single" w:sz="4" w:space="0" w:color="auto"/>
            </w:tcBorders>
            <w:shd w:val="clear" w:color="auto" w:fill="auto"/>
          </w:tcPr>
          <w:p w14:paraId="2E6ACF0F" w14:textId="77777777"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Rationale:</w:t>
            </w:r>
          </w:p>
          <w:p w14:paraId="5296446C" w14:textId="77777777" w:rsidR="007E2E6A" w:rsidRPr="00090AB4" w:rsidRDefault="007E2E6A" w:rsidP="007E2E6A">
            <w:pPr>
              <w:shd w:val="clear" w:color="auto" w:fill="FFFFFF"/>
              <w:spacing w:after="0"/>
              <w:contextualSpacing/>
              <w:rPr>
                <w:rFonts w:cs="Times New Roman"/>
                <w:color w:val="4A4A4A"/>
                <w:sz w:val="21"/>
                <w:szCs w:val="21"/>
              </w:rPr>
            </w:pPr>
          </w:p>
          <w:p w14:paraId="69CBB222"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(Ravallion, Datt, and van de Walle 1991). Since then there has been considerable expansion in the number of countries that field household income and expenditure surveys. The World Bank's Development Research Group maintains a database that is updated annually as new survey data become available (and thus may contain more recent data or revisions) and conducts a major reassessment of progress against poverty every year. PovcalNet is an interactive computational tool that allows users to replicate these internationally comparable $1.90 and $3.10 a day global, regional and country-level poverty estimates and to compute poverty measures for custom country groupings and for different poverty lines. </w:t>
            </w:r>
          </w:p>
          <w:p w14:paraId="467DA675"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6F5859B0" w14:textId="60B33430" w:rsidR="007C63C4" w:rsidRPr="004D68B6" w:rsidRDefault="007E2E6A" w:rsidP="007F4449">
            <w:pPr>
              <w:pStyle w:val="form-control-static"/>
              <w:shd w:val="clear" w:color="auto" w:fill="FFFFFF"/>
              <w:spacing w:before="0" w:beforeAutospacing="0" w:after="0" w:afterAutospacing="0" w:line="276" w:lineRule="auto"/>
              <w:contextualSpacing/>
              <w:rPr>
                <w:rFonts w:ascii="Calibri" w:hAnsi="Calibri" w:cs="Calibri"/>
                <w:color w:val="000000"/>
              </w:rPr>
            </w:pPr>
            <w:r w:rsidRPr="00090AB4">
              <w:rPr>
                <w:rFonts w:asciiTheme="minorHAnsi" w:hAnsiTheme="minorHAnsi"/>
                <w:color w:val="4A4A4A"/>
                <w:sz w:val="21"/>
                <w:szCs w:val="21"/>
              </w:rPr>
              <w:t xml:space="preserve">The Poverty and Equity Data portal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w:t>
            </w:r>
            <w:r w:rsidRPr="00090AB4">
              <w:rPr>
                <w:rFonts w:asciiTheme="minorHAnsi" w:hAnsiTheme="minorHAnsi"/>
                <w:color w:val="4A4A4A"/>
                <w:sz w:val="21"/>
                <w:szCs w:val="21"/>
              </w:rPr>
              <w:lastRenderedPageBreak/>
              <w:t>comparable estimates, produced from and consistent with PovcalNet.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0306AB94"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r>
              <w:rPr>
                <w:rStyle w:val="EndnoteReference"/>
                <w:rFonts w:ascii="Calibri" w:eastAsia="Times New Roman" w:hAnsi="Calibri" w:cs="Calibri"/>
                <w:color w:val="0563C1" w:themeColor="hyperlink"/>
                <w:u w:val="single"/>
              </w:rPr>
              <w:endnoteReference w:id="24"/>
            </w:r>
          </w:p>
        </w:tc>
        <w:tc>
          <w:tcPr>
            <w:tcW w:w="3261" w:type="pct"/>
            <w:tcBorders>
              <w:top w:val="nil"/>
              <w:left w:val="nil"/>
              <w:bottom w:val="single" w:sz="4" w:space="0" w:color="auto"/>
              <w:right w:val="single" w:sz="4" w:space="0" w:color="auto"/>
            </w:tcBorders>
            <w:shd w:val="clear" w:color="auto" w:fill="auto"/>
          </w:tcPr>
          <w:p w14:paraId="5CAD840E" w14:textId="77777777"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Comments and limitations:</w:t>
            </w:r>
          </w:p>
          <w:p w14:paraId="07B00247" w14:textId="77777777" w:rsidR="007E2E6A" w:rsidRPr="00090AB4" w:rsidRDefault="007E2E6A" w:rsidP="007E2E6A">
            <w:pPr>
              <w:shd w:val="clear" w:color="auto" w:fill="FFFFFF"/>
              <w:spacing w:after="0"/>
              <w:contextualSpacing/>
              <w:rPr>
                <w:rFonts w:cs="Times New Roman"/>
                <w:color w:val="4A4A4A"/>
                <w:sz w:val="21"/>
                <w:szCs w:val="21"/>
              </w:rPr>
            </w:pPr>
          </w:p>
          <w:p w14:paraId="06541492" w14:textId="15B1BDCE"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Five countries – Bangladesh, Cabo Verde, Cambodia, Jordan, and Laos – use the 2005 PPP conversion factors and corresponding $1.25 a day and $2 a day poverty lines. This is due to the large deviations in the rate of change in PPP factors relative to the rate of change in domestic consumer price indexes. See Box 1.1 in the Global Monitoring Report 2015/2016 (</w:t>
            </w:r>
            <w:hyperlink r:id="rId8" w:history="1">
              <w:r w:rsidRPr="007F4449">
                <w:rPr>
                  <w:rStyle w:val="Hyperlink"/>
                  <w:rFonts w:asciiTheme="minorHAnsi" w:hAnsiTheme="minorHAnsi"/>
                  <w:sz w:val="21"/>
                  <w:szCs w:val="21"/>
                </w:rPr>
                <w:t>http://www.worldbank.org/en/publication/global-monitoring-report</w:t>
              </w:r>
            </w:hyperlink>
            <w:r w:rsidRPr="00090AB4">
              <w:rPr>
                <w:rFonts w:asciiTheme="minorHAnsi" w:hAnsiTheme="minorHAnsi"/>
                <w:color w:val="4A4A4A"/>
                <w:sz w:val="21"/>
                <w:szCs w:val="21"/>
              </w:rPr>
              <w:t>) for a detailed explanation.</w:t>
            </w:r>
          </w:p>
          <w:p w14:paraId="62A5D00C"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E2B403E"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w:t>
            </w:r>
            <w:r w:rsidRPr="00090AB4">
              <w:rPr>
                <w:rStyle w:val="apple-converted-space"/>
                <w:rFonts w:asciiTheme="minorHAnsi" w:hAnsiTheme="minorHAnsi"/>
                <w:color w:val="4A4A4A"/>
                <w:sz w:val="21"/>
                <w:szCs w:val="21"/>
              </w:rPr>
              <w:t xml:space="preserve"> </w:t>
            </w:r>
          </w:p>
          <w:p w14:paraId="2C4C42DF"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4AE2F45"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29581DC5"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28C0885" w14:textId="67E9E048" w:rsidR="007C63C4" w:rsidRPr="007E2E6A"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w:t>
            </w:r>
            <w:r w:rsidRPr="00090AB4">
              <w:rPr>
                <w:rFonts w:asciiTheme="minorHAnsi" w:hAnsiTheme="minorHAnsi"/>
                <w:color w:val="4A4A4A"/>
                <w:sz w:val="21"/>
                <w:szCs w:val="21"/>
              </w:rPr>
              <w:lastRenderedPageBreak/>
              <w:t>include valuations for consumption or income from own production, but valuation methods vary.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039513DE"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r>
              <w:rPr>
                <w:rStyle w:val="EndnoteReference"/>
                <w:rFonts w:ascii="Calibri" w:eastAsia="Times New Roman" w:hAnsi="Calibri" w:cs="Calibri"/>
                <w:color w:val="0563C1" w:themeColor="hyperlink"/>
                <w:u w:val="single"/>
              </w:rPr>
              <w:endnoteReference w:id="25"/>
            </w:r>
          </w:p>
        </w:tc>
        <w:tc>
          <w:tcPr>
            <w:tcW w:w="3261" w:type="pct"/>
            <w:tcBorders>
              <w:top w:val="nil"/>
              <w:left w:val="nil"/>
              <w:bottom w:val="single" w:sz="4" w:space="0" w:color="auto"/>
              <w:right w:val="single" w:sz="4" w:space="0" w:color="auto"/>
            </w:tcBorders>
            <w:shd w:val="clear" w:color="auto" w:fill="auto"/>
          </w:tcPr>
          <w:p w14:paraId="2059BC88" w14:textId="77777777" w:rsidR="007E2E6A" w:rsidRPr="00090AB4" w:rsidRDefault="007E2E6A" w:rsidP="007E2E6A">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Methodology</w:t>
            </w:r>
          </w:p>
          <w:p w14:paraId="2DA262FB" w14:textId="77777777" w:rsidR="007E2E6A" w:rsidRPr="00090AB4" w:rsidRDefault="007E2E6A" w:rsidP="007E2E6A">
            <w:pPr>
              <w:shd w:val="clear" w:color="auto" w:fill="FFFFFF"/>
              <w:spacing w:after="0"/>
              <w:contextualSpacing/>
              <w:rPr>
                <w:rStyle w:val="Strong"/>
                <w:rFonts w:cs="Times New Roman"/>
                <w:color w:val="4A4A4A"/>
                <w:sz w:val="21"/>
                <w:szCs w:val="21"/>
              </w:rPr>
            </w:pPr>
          </w:p>
          <w:p w14:paraId="49BC0C27" w14:textId="6F3E64E3"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 xml:space="preserve">Computation </w:t>
            </w:r>
            <w:r w:rsidR="00A57FDE">
              <w:rPr>
                <w:rStyle w:val="Strong"/>
                <w:rFonts w:cs="Times New Roman"/>
                <w:color w:val="4A4A4A"/>
                <w:sz w:val="21"/>
                <w:szCs w:val="21"/>
              </w:rPr>
              <w:t>m</w:t>
            </w:r>
            <w:r w:rsidRPr="00090AB4">
              <w:rPr>
                <w:rStyle w:val="Strong"/>
                <w:rFonts w:cs="Times New Roman"/>
                <w:color w:val="4A4A4A"/>
                <w:sz w:val="21"/>
                <w:szCs w:val="21"/>
              </w:rPr>
              <w:t>ethod:</w:t>
            </w:r>
          </w:p>
          <w:p w14:paraId="4E2B0D42" w14:textId="77777777" w:rsidR="007E2E6A" w:rsidRPr="00090AB4" w:rsidRDefault="007E2E6A" w:rsidP="007E2E6A">
            <w:pPr>
              <w:shd w:val="clear" w:color="auto" w:fill="FFFFFF"/>
              <w:spacing w:after="0"/>
              <w:contextualSpacing/>
              <w:rPr>
                <w:rFonts w:cs="Times New Roman"/>
                <w:color w:val="4A4A4A"/>
                <w:sz w:val="21"/>
                <w:szCs w:val="21"/>
              </w:rPr>
            </w:pPr>
          </w:p>
          <w:p w14:paraId="64A875B1"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To measure poverty across countries consistently, the World Bank’s international measures apply a common standard, anchored to what “poverty” means in the world’s poorest countries. The original “$1-a-day” line was based on a compilation of national lines for only 22 developing countries, mostly from academic studies in the 1980s (Ravallion, et al., 1991). While this was the best that could be done at the time, the sample was hardly representative of developing countries even in the 1980s. Since then, national poverty lines have been developed for many other countries. Based on a new compilation of national lines for 75 developing countries, Ravallion, Chen and Sangraula (RCS) (2009) proposed a new international poverty line of $1.25 a day. This is the average poverty line for the poorest 15 countries in their data set.</w:t>
            </w:r>
            <w:r w:rsidRPr="00090AB4">
              <w:rPr>
                <w:rStyle w:val="apple-converted-space"/>
                <w:rFonts w:asciiTheme="minorHAnsi" w:hAnsiTheme="minorHAnsi"/>
                <w:color w:val="4A4A4A"/>
                <w:sz w:val="21"/>
                <w:szCs w:val="21"/>
              </w:rPr>
              <w:t xml:space="preserve"> </w:t>
            </w:r>
          </w:p>
          <w:p w14:paraId="2DB7E38A"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2A0EF9E"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The current extreme poverty line is set at $1.90 a day in 2011 PPP terms, which represents the mean of the national poverty lines found in the same poorest 15 countries ranked by per capita consumption. The new poverty line maintains the same standard for extreme poverty - the poverty line typical of the poorest countries in the world - but updates it using the latest information on the cost of living in developing countries.</w:t>
            </w:r>
            <w:r w:rsidRPr="00090AB4">
              <w:rPr>
                <w:rStyle w:val="apple-converted-space"/>
                <w:rFonts w:asciiTheme="minorHAnsi" w:hAnsiTheme="minorHAnsi"/>
                <w:color w:val="4A4A4A"/>
                <w:sz w:val="21"/>
                <w:szCs w:val="21"/>
              </w:rPr>
              <w:t xml:space="preserve"> </w:t>
            </w:r>
          </w:p>
          <w:p w14:paraId="731522A3"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4D79041" w14:textId="7B4C731D" w:rsidR="007C63C4" w:rsidRPr="007E2E6A"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When measuring international poverty of a country, the international poverty line at PPP is converted to local currencies in 2011 price and is then converted to the prices prevailing at the time of the relevant household survey using the best available Consumer Price Index (CPI). (Equivalently, the survey data on household consumption or income for the survey year are 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C94BE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r>
              <w:rPr>
                <w:rStyle w:val="EndnoteReference"/>
                <w:rFonts w:ascii="Calibri" w:eastAsia="Times New Roman" w:hAnsi="Calibri" w:cs="Calibri"/>
                <w:color w:val="0563C1" w:themeColor="hyperlink"/>
                <w:u w:val="single"/>
              </w:rPr>
              <w:endnoteReference w:id="26"/>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5"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3D32FB26"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r>
              <w:rPr>
                <w:rStyle w:val="EndnoteReference"/>
                <w:rFonts w:ascii="Calibri" w:eastAsia="Times New Roman" w:hAnsi="Calibri" w:cs="Calibri"/>
                <w:color w:val="0563C1" w:themeColor="hyperlink"/>
                <w:u w:val="single"/>
              </w:rPr>
              <w:endnoteReference w:id="27"/>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6"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6"/>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288F09F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4.f. Treatment of missing values (i) at country level and (ii) at regional level</w:t>
            </w:r>
            <w:r>
              <w:rPr>
                <w:rStyle w:val="EndnoteReference"/>
                <w:rFonts w:ascii="Calibri" w:eastAsia="Times New Roman" w:hAnsi="Calibri" w:cs="Calibri"/>
                <w:color w:val="0563C1" w:themeColor="hyperlink"/>
                <w:u w:val="single"/>
              </w:rPr>
              <w:endnoteReference w:id="28"/>
            </w:r>
          </w:p>
        </w:tc>
        <w:tc>
          <w:tcPr>
            <w:tcW w:w="3261" w:type="pct"/>
            <w:tcBorders>
              <w:top w:val="nil"/>
              <w:left w:val="nil"/>
              <w:bottom w:val="single" w:sz="4" w:space="0" w:color="auto"/>
              <w:right w:val="single" w:sz="4" w:space="0" w:color="auto"/>
            </w:tcBorders>
            <w:shd w:val="clear" w:color="auto" w:fill="auto"/>
          </w:tcPr>
          <w:p w14:paraId="56CD80EF" w14:textId="77777777"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Treatment of missing values:</w:t>
            </w:r>
          </w:p>
          <w:p w14:paraId="24D839A7" w14:textId="77777777" w:rsidR="007E2E6A" w:rsidRPr="00090AB4" w:rsidRDefault="007E2E6A" w:rsidP="007E2E6A">
            <w:pPr>
              <w:shd w:val="clear" w:color="auto" w:fill="FFFFFF"/>
              <w:spacing w:after="0"/>
              <w:contextualSpacing/>
              <w:rPr>
                <w:rFonts w:cs="Times New Roman"/>
                <w:color w:val="4A4A4A"/>
                <w:sz w:val="21"/>
                <w:szCs w:val="21"/>
              </w:rPr>
            </w:pPr>
          </w:p>
          <w:p w14:paraId="16287391" w14:textId="77777777" w:rsidR="007E2E6A" w:rsidRPr="00090AB4" w:rsidRDefault="007E2E6A" w:rsidP="007E2E6A">
            <w:pPr>
              <w:pStyle w:val="Heading5"/>
              <w:keepNext w:val="0"/>
              <w:keepLines w:val="0"/>
              <w:numPr>
                <w:ilvl w:val="0"/>
                <w:numId w:val="5"/>
              </w:numPr>
              <w:shd w:val="clear" w:color="auto" w:fill="FFFFFF"/>
              <w:spacing w:before="0" w:line="276" w:lineRule="auto"/>
              <w:contextualSpacing/>
              <w:rPr>
                <w:rFonts w:asciiTheme="minorHAnsi" w:hAnsiTheme="minorHAnsi"/>
                <w:b/>
                <w:bCs/>
                <w:color w:val="1C75BC"/>
                <w:sz w:val="21"/>
                <w:szCs w:val="21"/>
              </w:rPr>
            </w:pPr>
            <w:r w:rsidRPr="00090AB4">
              <w:rPr>
                <w:rFonts w:asciiTheme="minorHAnsi" w:hAnsiTheme="minorHAnsi"/>
                <w:color w:val="1C75BC"/>
                <w:sz w:val="21"/>
                <w:szCs w:val="21"/>
              </w:rPr>
              <w:t>At country level</w:t>
            </w:r>
          </w:p>
          <w:p w14:paraId="28E6487C"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p>
          <w:p w14:paraId="2577897A"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r w:rsidRPr="00090AB4">
              <w:rPr>
                <w:rFonts w:asciiTheme="minorHAnsi" w:hAnsiTheme="minorHAnsi"/>
                <w:color w:val="4A4A4A"/>
                <w:sz w:val="21"/>
                <w:szCs w:val="21"/>
              </w:rPr>
              <w:t>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values at the regional and global levels provide more details on the imputation method.</w:t>
            </w:r>
          </w:p>
          <w:p w14:paraId="75E1CB48"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p>
          <w:p w14:paraId="724091AC" w14:textId="77777777" w:rsidR="007E2E6A" w:rsidRPr="00090AB4" w:rsidRDefault="007E2E6A" w:rsidP="007E2E6A">
            <w:pPr>
              <w:pStyle w:val="Heading5"/>
              <w:keepNext w:val="0"/>
              <w:keepLines w:val="0"/>
              <w:numPr>
                <w:ilvl w:val="0"/>
                <w:numId w:val="5"/>
              </w:numPr>
              <w:shd w:val="clear" w:color="auto" w:fill="FFFFFF"/>
              <w:spacing w:before="0" w:line="276" w:lineRule="auto"/>
              <w:contextualSpacing/>
              <w:rPr>
                <w:rFonts w:asciiTheme="minorHAnsi" w:hAnsiTheme="minorHAnsi"/>
                <w:b/>
                <w:bCs/>
                <w:color w:val="1C75BC"/>
                <w:sz w:val="21"/>
                <w:szCs w:val="21"/>
              </w:rPr>
            </w:pPr>
            <w:r w:rsidRPr="00090AB4">
              <w:rPr>
                <w:rFonts w:asciiTheme="minorHAnsi" w:hAnsiTheme="minorHAnsi"/>
                <w:color w:val="1C75BC"/>
                <w:sz w:val="21"/>
                <w:szCs w:val="21"/>
              </w:rPr>
              <w:t>At regional and global levels</w:t>
            </w:r>
          </w:p>
          <w:p w14:paraId="322171E4"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p>
          <w:p w14:paraId="481AFBCA"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r w:rsidRPr="00090AB4">
              <w:rPr>
                <w:rFonts w:asciiTheme="minorHAnsi" w:hAnsiTheme="minorHAnsi"/>
                <w:color w:val="4A4A4A"/>
                <w:sz w:val="21"/>
                <w:szCs w:val="21"/>
              </w:rPr>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4E3A448E"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p>
          <w:p w14:paraId="2C64E310"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r w:rsidRPr="00090AB4">
              <w:rPr>
                <w:rFonts w:asciiTheme="minorHAnsi" w:hAnsiTheme="minorHAnsi"/>
                <w:color w:val="4A4A4A"/>
                <w:sz w:val="21"/>
                <w:szCs w:val="21"/>
              </w:rPr>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3567B0BC"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p>
          <w:p w14:paraId="65F3E08E"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r w:rsidRPr="00090AB4">
              <w:rPr>
                <w:rFonts w:asciiTheme="minorHAnsi" w:hAnsiTheme="minorHAnsi"/>
                <w:color w:val="4A4A4A"/>
                <w:sz w:val="21"/>
                <w:szCs w:val="21"/>
              </w:rPr>
              <w:t xml:space="preserve">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expenditure. Rates of change in real consumption per capita should be based on the change in real consumption measured by comparing country survey data across different years. In practice, however, survey data in most countries are not available on an annual </w:t>
            </w:r>
            <w:r w:rsidRPr="00090AB4">
              <w:rPr>
                <w:rFonts w:asciiTheme="minorHAnsi" w:hAnsiTheme="minorHAnsi"/>
                <w:color w:val="4A4A4A"/>
                <w:sz w:val="21"/>
                <w:szCs w:val="21"/>
              </w:rPr>
              <w:lastRenderedPageBreak/>
              <w:t>basis. Therefore, the change in private consumption per capita as measured from the national accounts is used instead. While, there can be no guarantee that the survey-based measure of income or consumption change at exactly the same rate as private consumption in the national accounts, this appears to be the best available option.</w:t>
            </w:r>
          </w:p>
          <w:p w14:paraId="57FA93A2"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p>
          <w:p w14:paraId="42FE84D8"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r w:rsidRPr="00090AB4">
              <w:rPr>
                <w:rFonts w:asciiTheme="minorHAnsi" w:hAnsiTheme="minorHAnsi"/>
                <w:color w:val="4A4A4A"/>
                <w:sz w:val="21"/>
                <w:szCs w:val="21"/>
              </w:rPr>
              <w:t>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distributions observed in the two survey years by the reference year mean. This yields two estimates of the headcount poverty rates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3B27E3" w14:textId="77777777" w:rsidR="007E2E6A" w:rsidRPr="00090AB4"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p>
          <w:p w14:paraId="11763FCE" w14:textId="3AC5A16C" w:rsidR="007C63C4" w:rsidRPr="007E2E6A" w:rsidRDefault="007E2E6A" w:rsidP="007E2E6A">
            <w:pPr>
              <w:pStyle w:val="NormalWeb"/>
              <w:shd w:val="clear" w:color="auto" w:fill="FFFFFF"/>
              <w:spacing w:before="0" w:beforeAutospacing="0" w:after="0" w:afterAutospacing="0" w:line="276" w:lineRule="auto"/>
              <w:ind w:left="720"/>
              <w:contextualSpacing/>
              <w:rPr>
                <w:rFonts w:asciiTheme="minorHAnsi" w:hAnsiTheme="minorHAnsi"/>
                <w:color w:val="4A4A4A"/>
                <w:sz w:val="21"/>
                <w:szCs w:val="21"/>
              </w:rPr>
            </w:pPr>
            <w:r w:rsidRPr="00090AB4">
              <w:rPr>
                <w:rFonts w:asciiTheme="minorHAnsi" w:hAnsiTheme="minorHAnsi"/>
                <w:color w:val="4A4A4A"/>
                <w:sz w:val="21"/>
                <w:szCs w:val="21"/>
              </w:rPr>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E8D67A4"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r>
              <w:rPr>
                <w:rStyle w:val="EndnoteReference"/>
                <w:rFonts w:ascii="Calibri" w:eastAsia="Times New Roman" w:hAnsi="Calibri" w:cs="Calibri"/>
                <w:color w:val="0563C1" w:themeColor="hyperlink"/>
                <w:u w:val="single"/>
              </w:rPr>
              <w:endnoteReference w:id="29"/>
            </w:r>
          </w:p>
        </w:tc>
        <w:tc>
          <w:tcPr>
            <w:tcW w:w="3261" w:type="pct"/>
            <w:tcBorders>
              <w:top w:val="nil"/>
              <w:left w:val="nil"/>
              <w:bottom w:val="single" w:sz="4" w:space="0" w:color="auto"/>
              <w:right w:val="single" w:sz="4" w:space="0" w:color="auto"/>
            </w:tcBorders>
            <w:shd w:val="clear" w:color="auto" w:fill="auto"/>
          </w:tcPr>
          <w:p w14:paraId="6A052F50" w14:textId="77777777" w:rsidR="005934B1" w:rsidRPr="00090AB4" w:rsidRDefault="005934B1" w:rsidP="005934B1">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Regional aggregates:</w:t>
            </w:r>
          </w:p>
          <w:p w14:paraId="63F503FA" w14:textId="77777777" w:rsidR="005934B1" w:rsidRPr="00090AB4" w:rsidRDefault="005934B1" w:rsidP="005934B1">
            <w:pPr>
              <w:keepNext/>
              <w:keepLines/>
              <w:shd w:val="clear" w:color="auto" w:fill="FFFFFF"/>
              <w:spacing w:after="0"/>
              <w:contextualSpacing/>
              <w:rPr>
                <w:rFonts w:cs="Times New Roman"/>
                <w:color w:val="4A4A4A"/>
                <w:sz w:val="21"/>
                <w:szCs w:val="21"/>
              </w:rPr>
            </w:pPr>
          </w:p>
          <w:p w14:paraId="6E65421B" w14:textId="5601C58E" w:rsidR="007C63C4" w:rsidRPr="005934B1" w:rsidRDefault="005934B1" w:rsidP="005934B1">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Because surveys are not conducted every year in most countries, poverty estimates have to be derived for line-up years by interpolation or extrapolation using national accounts data. These estimates for line-up years are then aggregated to regional and global numbers. Regional and global aggregates are population-weighted averages.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04D823F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r>
              <w:rPr>
                <w:rStyle w:val="EndnoteReference"/>
                <w:rFonts w:ascii="Calibri" w:eastAsia="Times New Roman" w:hAnsi="Calibri" w:cs="Calibri"/>
                <w:color w:val="0563C1" w:themeColor="hyperlink"/>
                <w:u w:val="single"/>
              </w:rPr>
              <w:endnoteReference w:id="30"/>
            </w:r>
          </w:p>
        </w:tc>
        <w:tc>
          <w:tcPr>
            <w:tcW w:w="3261" w:type="pct"/>
            <w:tcBorders>
              <w:top w:val="nil"/>
              <w:left w:val="nil"/>
              <w:bottom w:val="single" w:sz="4" w:space="0" w:color="auto"/>
              <w:right w:val="single" w:sz="4" w:space="0" w:color="auto"/>
            </w:tcBorders>
            <w:shd w:val="clear" w:color="auto" w:fill="auto"/>
          </w:tcPr>
          <w:p w14:paraId="68FA19D3" w14:textId="1A5D4F0C"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8"/>
                  <w:enabled/>
                  <w:calcOnExit w:val="0"/>
                  <w:textInput/>
                </w:ffData>
              </w:fldChar>
            </w:r>
            <w:bookmarkStart w:id="37" w:name="Text3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7"/>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FEA1284"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r>
              <w:rPr>
                <w:rStyle w:val="EndnoteReference"/>
                <w:rFonts w:ascii="Calibri" w:eastAsia="Times New Roman" w:hAnsi="Calibri" w:cs="Calibri"/>
                <w:color w:val="0563C1" w:themeColor="hyperlink"/>
                <w:u w:val="single"/>
              </w:rPr>
              <w:endnoteReference w:id="31"/>
            </w:r>
          </w:p>
        </w:tc>
        <w:tc>
          <w:tcPr>
            <w:tcW w:w="3261" w:type="pct"/>
            <w:tcBorders>
              <w:top w:val="nil"/>
              <w:left w:val="nil"/>
              <w:bottom w:val="single" w:sz="4" w:space="0" w:color="auto"/>
              <w:right w:val="single" w:sz="4" w:space="0" w:color="auto"/>
            </w:tcBorders>
            <w:shd w:val="clear" w:color="auto" w:fill="auto"/>
          </w:tcPr>
          <w:p w14:paraId="72EE23D6" w14:textId="7A4B1B5B" w:rsidR="007C63C4" w:rsidRPr="008A7300" w:rsidRDefault="007C63C4" w:rsidP="008A7300">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9"/>
                  <w:enabled/>
                  <w:calcOnExit w:val="0"/>
                  <w:textInput/>
                </w:ffData>
              </w:fldChar>
            </w:r>
            <w:bookmarkStart w:id="38" w:name="Text39"/>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8"/>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CF8974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r>
              <w:rPr>
                <w:rStyle w:val="EndnoteReference"/>
                <w:rFonts w:ascii="Calibri" w:eastAsia="Times New Roman" w:hAnsi="Calibri" w:cs="Calibri"/>
                <w:color w:val="0563C1" w:themeColor="hyperlink"/>
                <w:u w:val="single"/>
              </w:rPr>
              <w:endnoteReference w:id="32"/>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39"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9"/>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338B6A68"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r>
              <w:rPr>
                <w:rStyle w:val="EndnoteReference"/>
                <w:rFonts w:ascii="Calibri" w:eastAsia="Times New Roman" w:hAnsi="Calibri" w:cs="Calibri"/>
                <w:color w:val="0563C1" w:themeColor="hyperlink"/>
                <w:u w:val="single"/>
              </w:rPr>
              <w:endnoteReference w:id="33"/>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40"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0"/>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2507DC56"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r>
              <w:rPr>
                <w:rStyle w:val="EndnoteReference"/>
                <w:rFonts w:ascii="Calibri" w:eastAsia="Times New Roman" w:hAnsi="Calibri" w:cs="Calibri"/>
                <w:color w:val="0563C1" w:themeColor="hyperlink"/>
                <w:u w:val="single"/>
              </w:rPr>
              <w:endnoteReference w:id="34"/>
            </w:r>
          </w:p>
        </w:tc>
        <w:tc>
          <w:tcPr>
            <w:tcW w:w="3261" w:type="pct"/>
            <w:tcBorders>
              <w:top w:val="nil"/>
              <w:left w:val="nil"/>
              <w:bottom w:val="single" w:sz="4" w:space="0" w:color="auto"/>
              <w:right w:val="single" w:sz="4" w:space="0" w:color="auto"/>
            </w:tcBorders>
            <w:shd w:val="clear" w:color="auto" w:fill="auto"/>
          </w:tcPr>
          <w:p w14:paraId="387BA605" w14:textId="0091B1C9"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2"/>
                  <w:enabled/>
                  <w:calcOnExit w:val="0"/>
                  <w:textInput/>
                </w:ffData>
              </w:fldChar>
            </w:r>
            <w:bookmarkStart w:id="41" w:name="Text4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1"/>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2" w:name="_Toc36655613"/>
            <w:bookmarkStart w:id="43" w:name="_Toc36812576"/>
            <w:bookmarkStart w:id="44" w:name="_Toc36812689"/>
            <w:bookmarkStart w:id="45" w:name="_Toc36813076"/>
            <w:r w:rsidRPr="001A0E35">
              <w:t>5</w:t>
            </w:r>
            <w:r w:rsidR="00952376" w:rsidRPr="001A0E35">
              <w:t>. Data availability and disaggregation</w:t>
            </w:r>
            <w:bookmarkEnd w:id="42"/>
            <w:bookmarkEnd w:id="43"/>
            <w:bookmarkEnd w:id="44"/>
            <w:bookmarkEnd w:id="4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72B12038"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r>
              <w:rPr>
                <w:rStyle w:val="EndnoteReference"/>
                <w:rFonts w:ascii="Calibri" w:eastAsia="Times New Roman" w:hAnsi="Calibri" w:cs="Calibri"/>
                <w:color w:val="0563C1" w:themeColor="hyperlink"/>
                <w:u w:val="single"/>
              </w:rPr>
              <w:endnoteReference w:id="35"/>
            </w:r>
          </w:p>
        </w:tc>
        <w:tc>
          <w:tcPr>
            <w:tcW w:w="3331" w:type="pct"/>
            <w:tcBorders>
              <w:top w:val="single" w:sz="4" w:space="0" w:color="auto"/>
              <w:left w:val="nil"/>
              <w:bottom w:val="single" w:sz="4" w:space="0" w:color="auto"/>
              <w:right w:val="single" w:sz="4" w:space="0" w:color="auto"/>
            </w:tcBorders>
            <w:shd w:val="clear" w:color="auto" w:fill="auto"/>
            <w:hideMark/>
          </w:tcPr>
          <w:p w14:paraId="1BFC9E7F" w14:textId="77777777" w:rsidR="005934B1" w:rsidRPr="00090AB4" w:rsidRDefault="005934B1" w:rsidP="005934B1">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Data Availability</w:t>
            </w:r>
          </w:p>
          <w:p w14:paraId="45593E76" w14:textId="77777777" w:rsidR="005934B1" w:rsidRDefault="005934B1" w:rsidP="005934B1">
            <w:pPr>
              <w:shd w:val="clear" w:color="auto" w:fill="FFFFFF"/>
              <w:spacing w:after="0"/>
              <w:contextualSpacing/>
              <w:rPr>
                <w:rStyle w:val="Strong"/>
                <w:rFonts w:cs="Times New Roman"/>
                <w:color w:val="4A4A4A"/>
                <w:sz w:val="21"/>
                <w:szCs w:val="21"/>
              </w:rPr>
            </w:pPr>
          </w:p>
          <w:p w14:paraId="0BBE03EC" w14:textId="77777777" w:rsidR="005934B1" w:rsidRPr="00090AB4" w:rsidRDefault="005934B1" w:rsidP="005934B1">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Description:</w:t>
            </w:r>
          </w:p>
          <w:p w14:paraId="13A91A0D" w14:textId="77777777" w:rsidR="005934B1" w:rsidRPr="00090AB4" w:rsidRDefault="005934B1" w:rsidP="005934B1">
            <w:pPr>
              <w:shd w:val="clear" w:color="auto" w:fill="FFFFFF"/>
              <w:spacing w:after="0"/>
              <w:contextualSpacing/>
              <w:rPr>
                <w:rFonts w:cs="Times New Roman"/>
                <w:color w:val="4A4A4A"/>
                <w:sz w:val="21"/>
                <w:szCs w:val="21"/>
              </w:rPr>
            </w:pPr>
          </w:p>
          <w:p w14:paraId="595929BB" w14:textId="757EB9A9"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Data </w:t>
            </w:r>
            <w:r w:rsidR="00A57FDE">
              <w:rPr>
                <w:rFonts w:asciiTheme="minorHAnsi" w:hAnsiTheme="minorHAnsi"/>
                <w:color w:val="4A4A4A"/>
                <w:sz w:val="21"/>
                <w:szCs w:val="21"/>
              </w:rPr>
              <w:t>a</w:t>
            </w:r>
            <w:r w:rsidRPr="00090AB4">
              <w:rPr>
                <w:rFonts w:asciiTheme="minorHAnsi" w:hAnsiTheme="minorHAnsi"/>
                <w:color w:val="4A4A4A"/>
                <w:sz w:val="21"/>
                <w:szCs w:val="21"/>
              </w:rPr>
              <w:t>vailability (measured in terms of number of countries that have at least 1 data point by region):</w:t>
            </w:r>
          </w:p>
          <w:p w14:paraId="4CA2CFF0"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D0FFE56"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2010 to present: </w:t>
            </w:r>
          </w:p>
          <w:p w14:paraId="099CDC0C"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Asia and Pacific: 23 (40 if modelled estimates are considered); Africa: 23 (48 if modelled estimates are considered); Latin America and Caribbean: 19 (21 if modelled estimates are considered)</w:t>
            </w:r>
          </w:p>
          <w:p w14:paraId="61B271AE"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Europe, North America, Australia, New Zealand and Japan: 17 (25 if modelled estimates are considered)</w:t>
            </w:r>
          </w:p>
          <w:p w14:paraId="15BFF854"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0A67960"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2000-2009: </w:t>
            </w:r>
          </w:p>
          <w:p w14:paraId="0D8AF699" w14:textId="77777777" w:rsidR="005934B1" w:rsidRPr="00090AB4"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Asia and Pacific: 38 (40 if modelled estimates are considered); Africa: 47 (48 if modelled estimates are considered); Latin America and Caribbean: 21 (21 if modelled estimates are considered)</w:t>
            </w:r>
          </w:p>
          <w:p w14:paraId="18AC5B54" w14:textId="615E0C74" w:rsidR="005934B1" w:rsidRPr="005934B1" w:rsidRDefault="005934B1" w:rsidP="005934B1">
            <w:pPr>
              <w:pStyle w:val="form-control-static"/>
              <w:shd w:val="clear" w:color="auto" w:fill="FFFFFF"/>
              <w:spacing w:before="0" w:beforeAutospacing="0" w:after="0" w:afterAutospacing="0" w:line="276" w:lineRule="auto"/>
              <w:contextualSpacing/>
              <w:rPr>
                <w:rStyle w:val="Strong"/>
                <w:rFonts w:asciiTheme="minorHAnsi" w:hAnsiTheme="minorHAnsi"/>
                <w:b w:val="0"/>
                <w:bCs w:val="0"/>
                <w:color w:val="4A4A4A"/>
                <w:sz w:val="21"/>
                <w:szCs w:val="21"/>
              </w:rPr>
            </w:pPr>
            <w:r w:rsidRPr="00090AB4">
              <w:rPr>
                <w:rFonts w:asciiTheme="minorHAnsi" w:hAnsiTheme="minorHAnsi"/>
                <w:color w:val="4A4A4A"/>
                <w:sz w:val="21"/>
                <w:szCs w:val="21"/>
              </w:rPr>
              <w:t>Europe, North America, Australia, New Zealand and Japan: 20 (25 if modelled estimates are considered)</w:t>
            </w:r>
          </w:p>
          <w:p w14:paraId="38F14BFB" w14:textId="77777777" w:rsidR="005934B1" w:rsidRDefault="005934B1" w:rsidP="007E2E6A">
            <w:pPr>
              <w:shd w:val="clear" w:color="auto" w:fill="FFFFFF"/>
              <w:spacing w:after="0"/>
              <w:contextualSpacing/>
              <w:rPr>
                <w:rStyle w:val="Strong"/>
                <w:rFonts w:cs="Times New Roman"/>
              </w:rPr>
            </w:pPr>
          </w:p>
          <w:p w14:paraId="66A97689" w14:textId="27386116"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lastRenderedPageBreak/>
              <w:t>Disaggregation:</w:t>
            </w:r>
          </w:p>
          <w:p w14:paraId="0E355797" w14:textId="77777777" w:rsidR="007E2E6A" w:rsidRPr="00090AB4" w:rsidRDefault="007E2E6A" w:rsidP="007E2E6A">
            <w:pPr>
              <w:shd w:val="clear" w:color="auto" w:fill="FFFFFF"/>
              <w:spacing w:after="0"/>
              <w:contextualSpacing/>
              <w:rPr>
                <w:rFonts w:cs="Times New Roman"/>
                <w:color w:val="4A4A4A"/>
                <w:sz w:val="21"/>
                <w:szCs w:val="21"/>
              </w:rPr>
            </w:pPr>
          </w:p>
          <w:p w14:paraId="606721A7" w14:textId="08B12FE9" w:rsidR="00202B2D" w:rsidRPr="007E2E6A"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6" w:name="_Toc36655614"/>
            <w:bookmarkStart w:id="47" w:name="_Toc36812577"/>
            <w:bookmarkStart w:id="48" w:name="_Toc36812690"/>
            <w:bookmarkStart w:id="49" w:name="_Toc36813077"/>
            <w:bookmarkStart w:id="5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6"/>
            <w:bookmarkEnd w:id="47"/>
            <w:bookmarkEnd w:id="48"/>
            <w:bookmarkEnd w:id="4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42BDE194"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r>
              <w:rPr>
                <w:rStyle w:val="EndnoteReference"/>
                <w:rFonts w:ascii="Calibri" w:eastAsia="Times New Roman" w:hAnsi="Calibri" w:cs="Calibri"/>
                <w:color w:val="0563C1" w:themeColor="hyperlink"/>
                <w:u w:val="single"/>
              </w:rPr>
              <w:endnoteReference w:id="36"/>
            </w:r>
          </w:p>
        </w:tc>
        <w:tc>
          <w:tcPr>
            <w:tcW w:w="3275" w:type="pct"/>
            <w:tcBorders>
              <w:top w:val="single" w:sz="4" w:space="0" w:color="auto"/>
              <w:left w:val="nil"/>
              <w:bottom w:val="single" w:sz="4" w:space="0" w:color="auto"/>
              <w:right w:val="single" w:sz="4" w:space="0" w:color="auto"/>
            </w:tcBorders>
            <w:shd w:val="clear" w:color="auto" w:fill="auto"/>
            <w:hideMark/>
          </w:tcPr>
          <w:p w14:paraId="3A6DE126" w14:textId="77777777" w:rsidR="005934B1" w:rsidRPr="00090AB4" w:rsidRDefault="005934B1" w:rsidP="005934B1">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Sources of discrepancies:</w:t>
            </w:r>
          </w:p>
          <w:p w14:paraId="24633876" w14:textId="77777777" w:rsidR="005934B1" w:rsidRPr="00090AB4" w:rsidRDefault="005934B1" w:rsidP="005934B1">
            <w:pPr>
              <w:shd w:val="clear" w:color="auto" w:fill="FFFFFF"/>
              <w:spacing w:after="0"/>
              <w:contextualSpacing/>
              <w:rPr>
                <w:rFonts w:cs="Times New Roman"/>
                <w:color w:val="4A4A4A"/>
                <w:sz w:val="21"/>
                <w:szCs w:val="21"/>
              </w:rPr>
            </w:pPr>
          </w:p>
          <w:p w14:paraId="13CF0B2D" w14:textId="44C4EEDE" w:rsidR="004F4616" w:rsidRPr="005934B1"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National poverty is a different concept than global poverty.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5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1" w:name="_Toc36655615"/>
            <w:bookmarkStart w:id="52" w:name="_Toc36812578"/>
            <w:bookmarkStart w:id="53" w:name="_Toc36812691"/>
            <w:bookmarkStart w:id="54" w:name="_Toc36813078"/>
            <w:r w:rsidRPr="001A0E35">
              <w:t>7. References and documentation</w:t>
            </w:r>
            <w:bookmarkEnd w:id="51"/>
            <w:bookmarkEnd w:id="52"/>
            <w:bookmarkEnd w:id="53"/>
            <w:bookmarkEnd w:id="5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1FC0F87B"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r>
              <w:rPr>
                <w:rStyle w:val="EndnoteReference"/>
                <w:rFonts w:ascii="Calibri" w:eastAsia="Times New Roman" w:hAnsi="Calibri" w:cs="Calibri"/>
                <w:color w:val="0563C1" w:themeColor="hyperlink"/>
                <w:u w:val="single"/>
              </w:rPr>
              <w:endnoteReference w:id="37"/>
            </w:r>
          </w:p>
        </w:tc>
        <w:tc>
          <w:tcPr>
            <w:tcW w:w="3276" w:type="pct"/>
            <w:tcBorders>
              <w:top w:val="single" w:sz="4" w:space="0" w:color="auto"/>
              <w:left w:val="nil"/>
              <w:bottom w:val="single" w:sz="4" w:space="0" w:color="auto"/>
              <w:right w:val="single" w:sz="4" w:space="0" w:color="auto"/>
            </w:tcBorders>
            <w:shd w:val="clear" w:color="auto" w:fill="auto"/>
            <w:hideMark/>
          </w:tcPr>
          <w:p w14:paraId="0952A860" w14:textId="77777777" w:rsidR="007F4449" w:rsidRPr="00090AB4" w:rsidRDefault="007F4449" w:rsidP="007F4449">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References</w:t>
            </w:r>
          </w:p>
          <w:p w14:paraId="43121343" w14:textId="77777777" w:rsidR="007F4449" w:rsidRPr="00090AB4" w:rsidRDefault="007F4449" w:rsidP="007F4449">
            <w:pPr>
              <w:keepNext/>
              <w:keepLines/>
              <w:shd w:val="clear" w:color="auto" w:fill="FFFFFF"/>
              <w:spacing w:after="0"/>
              <w:contextualSpacing/>
              <w:rPr>
                <w:rStyle w:val="Strong"/>
                <w:rFonts w:cs="Times New Roman"/>
                <w:color w:val="4A4A4A"/>
                <w:sz w:val="21"/>
                <w:szCs w:val="21"/>
              </w:rPr>
            </w:pPr>
          </w:p>
          <w:p w14:paraId="2779C782" w14:textId="77777777" w:rsidR="007F4449" w:rsidRPr="00090AB4" w:rsidRDefault="007F4449" w:rsidP="007F4449">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URL:</w:t>
            </w:r>
          </w:p>
          <w:p w14:paraId="05E79BB9" w14:textId="77777777" w:rsidR="007F4449" w:rsidRPr="00090AB4" w:rsidRDefault="007F4449" w:rsidP="007F4449">
            <w:pPr>
              <w:keepNext/>
              <w:keepLines/>
              <w:shd w:val="clear" w:color="auto" w:fill="FFFFFF"/>
              <w:spacing w:after="0"/>
              <w:contextualSpacing/>
              <w:rPr>
                <w:rFonts w:cs="Times New Roman"/>
                <w:color w:val="4A4A4A"/>
                <w:sz w:val="21"/>
                <w:szCs w:val="21"/>
              </w:rPr>
            </w:pPr>
          </w:p>
          <w:p w14:paraId="214DC55A" w14:textId="6DB5B0DB" w:rsidR="007F4449" w:rsidRPr="00090AB4" w:rsidRDefault="00A57FDE" w:rsidP="007F4449">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hyperlink r:id="rId9" w:history="1">
              <w:r w:rsidR="007F4449" w:rsidRPr="00A57FDE">
                <w:rPr>
                  <w:rStyle w:val="Hyperlink"/>
                  <w:rFonts w:asciiTheme="minorHAnsi" w:hAnsiTheme="minorHAnsi"/>
                  <w:sz w:val="21"/>
                  <w:szCs w:val="21"/>
                </w:rPr>
                <w:t>www.worldbank.org</w:t>
              </w:r>
            </w:hyperlink>
          </w:p>
          <w:p w14:paraId="3F98C990" w14:textId="77777777" w:rsidR="007F4449" w:rsidRPr="00090AB4" w:rsidRDefault="007F4449" w:rsidP="007F4449">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p>
          <w:p w14:paraId="6379782B" w14:textId="77777777" w:rsidR="007F4449" w:rsidRPr="00090AB4" w:rsidRDefault="007F4449" w:rsidP="007F4449">
            <w:pPr>
              <w:keepNext/>
              <w:keepLines/>
              <w:shd w:val="clear" w:color="auto" w:fill="FFFFFF"/>
              <w:spacing w:after="0"/>
              <w:contextualSpacing/>
              <w:rPr>
                <w:rFonts w:cs="Times New Roman"/>
                <w:color w:val="4A4A4A"/>
                <w:sz w:val="21"/>
                <w:szCs w:val="21"/>
              </w:rPr>
            </w:pPr>
            <w:r w:rsidRPr="00090AB4">
              <w:rPr>
                <w:rStyle w:val="Strong"/>
                <w:rFonts w:cs="Times New Roman"/>
                <w:color w:val="4A4A4A"/>
                <w:sz w:val="21"/>
                <w:szCs w:val="21"/>
              </w:rPr>
              <w:t>References:</w:t>
            </w:r>
          </w:p>
          <w:p w14:paraId="4604082D" w14:textId="77777777" w:rsidR="007F4449" w:rsidRPr="00090AB4" w:rsidRDefault="007F4449" w:rsidP="007F4449">
            <w:pPr>
              <w:shd w:val="clear" w:color="auto" w:fill="FFFFFF"/>
              <w:spacing w:after="0"/>
              <w:contextualSpacing/>
              <w:rPr>
                <w:rFonts w:cs="Times New Roman"/>
                <w:color w:val="4A4A4A"/>
                <w:sz w:val="21"/>
                <w:szCs w:val="21"/>
              </w:rPr>
            </w:pPr>
          </w:p>
          <w:p w14:paraId="23BA782C" w14:textId="6694B797"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For more information and methodology, please see PovcalNet (</w:t>
            </w:r>
            <w:hyperlink r:id="rId10" w:history="1">
              <w:r w:rsidRPr="00A57FDE">
                <w:rPr>
                  <w:rStyle w:val="Hyperlink"/>
                  <w:rFonts w:asciiTheme="minorHAnsi" w:hAnsiTheme="minorHAnsi"/>
                  <w:sz w:val="21"/>
                  <w:szCs w:val="21"/>
                </w:rPr>
                <w:t>http://iresearch.worldbank.org/PovcalNet/index.htm</w:t>
              </w:r>
            </w:hyperlink>
            <w:r w:rsidRPr="00090AB4">
              <w:rPr>
                <w:rFonts w:asciiTheme="minorHAnsi" w:hAnsiTheme="minorHAnsi"/>
                <w:color w:val="4A4A4A"/>
                <w:sz w:val="21"/>
                <w:szCs w:val="21"/>
              </w:rPr>
              <w:t>).</w:t>
            </w:r>
          </w:p>
          <w:p w14:paraId="43A0F0F3" w14:textId="77777777"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0486043" w14:textId="3ECAD798"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Also, consult: </w:t>
            </w:r>
            <w:hyperlink r:id="rId11" w:history="1">
              <w:r w:rsidRPr="00A57FDE">
                <w:rPr>
                  <w:rStyle w:val="Hyperlink"/>
                  <w:rFonts w:asciiTheme="minorHAnsi" w:hAnsiTheme="minorHAnsi"/>
                  <w:sz w:val="21"/>
                  <w:szCs w:val="21"/>
                </w:rPr>
                <w:t>http://documents.worldbank.org/curated/en/2015/10/25114899/global-count-extreme-poor-2012-data-issues-methodology-initial-results</w:t>
              </w:r>
            </w:hyperlink>
            <w:r w:rsidRPr="00090AB4">
              <w:rPr>
                <w:rStyle w:val="apple-converted-space"/>
                <w:rFonts w:asciiTheme="minorHAnsi" w:hAnsiTheme="minorHAnsi"/>
                <w:color w:val="4A4A4A"/>
                <w:sz w:val="21"/>
                <w:szCs w:val="21"/>
              </w:rPr>
              <w:t xml:space="preserve"> </w:t>
            </w:r>
          </w:p>
          <w:p w14:paraId="43A1B6D7" w14:textId="77777777"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2DF04167" w14:textId="4057508E"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For a short review see: </w:t>
            </w:r>
            <w:hyperlink r:id="rId12" w:history="1">
              <w:r w:rsidRPr="00A57FDE">
                <w:rPr>
                  <w:rStyle w:val="Hyperlink"/>
                  <w:rFonts w:asciiTheme="minorHAnsi" w:hAnsiTheme="minorHAnsi"/>
                  <w:sz w:val="21"/>
                  <w:szCs w:val="21"/>
                </w:rPr>
                <w:t>http://www.worldbank.org/en/topic/poverty/brief/global-poverty-line-faq</w:t>
              </w:r>
            </w:hyperlink>
            <w:r w:rsidRPr="00090AB4">
              <w:rPr>
                <w:rStyle w:val="apple-converted-space"/>
                <w:rFonts w:asciiTheme="minorHAnsi" w:hAnsiTheme="minorHAnsi"/>
                <w:color w:val="4A4A4A"/>
                <w:sz w:val="21"/>
                <w:szCs w:val="21"/>
              </w:rPr>
              <w:t xml:space="preserve"> </w:t>
            </w:r>
          </w:p>
          <w:p w14:paraId="7509EA73" w14:textId="77777777"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18743C69" w14:textId="77777777"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lastRenderedPageBreak/>
              <w:t>For a comprehensive link to related background papers, working papers and journal articles see:</w:t>
            </w:r>
            <w:r w:rsidRPr="00090AB4">
              <w:rPr>
                <w:rStyle w:val="apple-converted-space"/>
                <w:rFonts w:asciiTheme="minorHAnsi" w:hAnsiTheme="minorHAnsi"/>
                <w:color w:val="4A4A4A"/>
                <w:sz w:val="21"/>
                <w:szCs w:val="21"/>
              </w:rPr>
              <w:t xml:space="preserve"> </w:t>
            </w:r>
          </w:p>
          <w:p w14:paraId="3E3E3AB9" w14:textId="77777777"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http://iresearch.worldbank.org/PovcalNet/index.htm?0,4</w:t>
            </w:r>
            <w:r w:rsidRPr="00090AB4">
              <w:rPr>
                <w:rStyle w:val="apple-converted-space"/>
                <w:rFonts w:asciiTheme="minorHAnsi" w:hAnsiTheme="minorHAnsi"/>
                <w:color w:val="4A4A4A"/>
                <w:sz w:val="21"/>
                <w:szCs w:val="21"/>
              </w:rPr>
              <w:t xml:space="preserve"> </w:t>
            </w:r>
          </w:p>
          <w:p w14:paraId="745F95FC" w14:textId="77777777" w:rsidR="007F4449" w:rsidRPr="00090AB4"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75668AC2" w14:textId="71D5DEBD" w:rsidR="007B2E39" w:rsidRPr="007F4449" w:rsidRDefault="007F4449" w:rsidP="007F4449">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A Measured Approach to Ending Poverty and Boosting Shared Prosperity: Concepts, Data, and the Twin Goals. (http://www.worldbank.org/en/research/publication/a-measured-approach-to-ending-poverty-and-boosting-shared-prosperity)</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 w:id="1">
    <w:p w14:paraId="0F6CF797" w14:textId="45B0C504" w:rsidR="00C22A2E" w:rsidRPr="004962C5" w:rsidRDefault="00C22A2E">
      <w:pPr>
        <w:pStyle w:val="EndnoteText"/>
        <w:rPr>
          <w:sz w:val="22"/>
          <w:szCs w:val="22"/>
        </w:rPr>
      </w:pPr>
      <w:r>
        <w:rPr>
          <w:rStyle w:val="EndnoteReference"/>
        </w:rPr>
        <w:endnoteRef/>
      </w:r>
      <w:r>
        <w:t xml:space="preserve"> </w:t>
      </w:r>
      <w:r w:rsidRPr="004962C5">
        <w:rPr>
          <w:rFonts w:ascii="Calibri" w:eastAsia="Times New Roman" w:hAnsi="Calibri" w:cs="Calibri"/>
          <w:color w:val="000000"/>
          <w:sz w:val="22"/>
          <w:szCs w:val="22"/>
        </w:rPr>
        <w:t>SDG Goal number and name.</w:t>
      </w:r>
    </w:p>
  </w:endnote>
  <w:endnote w:id="2">
    <w:p w14:paraId="710A5D2B" w14:textId="3C5C9CE4"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w:t>
      </w:r>
      <w:r w:rsidRPr="004962C5">
        <w:rPr>
          <w:rFonts w:ascii="Calibri" w:eastAsia="Times New Roman" w:hAnsi="Calibri" w:cs="Calibri"/>
          <w:color w:val="000000"/>
          <w:sz w:val="22"/>
          <w:szCs w:val="22"/>
        </w:rPr>
        <w:t>SDG Target number and name.</w:t>
      </w:r>
    </w:p>
  </w:endnote>
  <w:endnote w:id="3">
    <w:p w14:paraId="2902E2FF" w14:textId="7A617401"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w:t>
      </w:r>
      <w:r w:rsidRPr="004962C5">
        <w:rPr>
          <w:rFonts w:ascii="Calibri" w:eastAsia="Times New Roman" w:hAnsi="Calibri" w:cs="Calibri"/>
          <w:color w:val="000000"/>
          <w:sz w:val="22"/>
          <w:szCs w:val="22"/>
        </w:rPr>
        <w:t>SDG Indicator number and name.</w:t>
      </w:r>
    </w:p>
  </w:endnote>
  <w:endnote w:id="4">
    <w:p w14:paraId="1DC1EB97" w14:textId="0538D935"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SDG data series.</w:t>
      </w:r>
    </w:p>
  </w:endnote>
  <w:endnote w:id="5">
    <w:p w14:paraId="6F77117C" w14:textId="65BE3F2B"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The date when this metadata report </w:t>
      </w:r>
      <w:r w:rsidR="00A67357">
        <w:rPr>
          <w:sz w:val="22"/>
          <w:szCs w:val="22"/>
        </w:rPr>
        <w:t>wa</w:t>
      </w:r>
      <w:r w:rsidRPr="004962C5">
        <w:rPr>
          <w:sz w:val="22"/>
          <w:szCs w:val="22"/>
        </w:rPr>
        <w:t>s last updated.</w:t>
      </w:r>
    </w:p>
  </w:endnote>
  <w:endnote w:id="6">
    <w:p w14:paraId="321B5BEA" w14:textId="3B09DE24" w:rsidR="00C22A2E" w:rsidRPr="004962C5" w:rsidRDefault="00C22A2E" w:rsidP="00D12D35">
      <w:pPr>
        <w:pStyle w:val="EndnoteText"/>
        <w:rPr>
          <w:sz w:val="22"/>
          <w:szCs w:val="22"/>
        </w:rPr>
      </w:pPr>
      <w:r w:rsidRPr="004962C5">
        <w:rPr>
          <w:rStyle w:val="EndnoteReference"/>
          <w:sz w:val="22"/>
          <w:szCs w:val="22"/>
        </w:rPr>
        <w:endnoteRef/>
      </w:r>
      <w:r w:rsidRPr="004962C5">
        <w:rPr>
          <w:sz w:val="22"/>
          <w:szCs w:val="22"/>
        </w:rPr>
        <w:t xml:space="preserve"> Linkages with any other Goals and Targets.</w:t>
      </w:r>
    </w:p>
  </w:endnote>
  <w:endnote w:id="7">
    <w:p w14:paraId="2E1B84AB" w14:textId="01DF28CB" w:rsidR="00C22A2E" w:rsidRPr="004962C5" w:rsidRDefault="00C22A2E" w:rsidP="00D12D35">
      <w:pPr>
        <w:pStyle w:val="EndnoteText"/>
        <w:rPr>
          <w:sz w:val="22"/>
          <w:szCs w:val="22"/>
        </w:rPr>
      </w:pPr>
      <w:r w:rsidRPr="004962C5">
        <w:rPr>
          <w:rStyle w:val="EndnoteReference"/>
          <w:sz w:val="22"/>
          <w:szCs w:val="22"/>
        </w:rPr>
        <w:endnoteRef/>
      </w:r>
      <w:r w:rsidRPr="004962C5">
        <w:rPr>
          <w:sz w:val="22"/>
          <w:szCs w:val="22"/>
        </w:rPr>
        <w:t xml:space="preserve"> International organizations (departments/offices) responsible for monitoring this indicator at the global level.</w:t>
      </w:r>
    </w:p>
  </w:endnote>
  <w:endnote w:id="8">
    <w:p w14:paraId="5D353844" w14:textId="5A969FD9" w:rsidR="00C22A2E" w:rsidRPr="004962C5" w:rsidRDefault="00C22A2E" w:rsidP="00D12D35">
      <w:pPr>
        <w:spacing w:after="0"/>
      </w:pPr>
      <w:r w:rsidRPr="004962C5">
        <w:rPr>
          <w:rStyle w:val="EndnoteReference"/>
        </w:rPr>
        <w:endnoteRef/>
      </w:r>
      <w:r w:rsidRPr="004962C5">
        <w:t xml:space="preserve"> Organisation unit information of the contact points for the data or metadata.</w:t>
      </w:r>
    </w:p>
  </w:endnote>
  <w:endnote w:id="9">
    <w:p w14:paraId="50C54761" w14:textId="72165779" w:rsidR="00C22A2E" w:rsidRPr="004962C5" w:rsidRDefault="00C22A2E" w:rsidP="00D12D35">
      <w:pPr>
        <w:spacing w:after="0"/>
      </w:pPr>
      <w:r w:rsidRPr="004962C5">
        <w:rPr>
          <w:rStyle w:val="EndnoteReference"/>
        </w:rPr>
        <w:endnoteRef/>
      </w:r>
      <w:r w:rsidRPr="004962C5">
        <w:t xml:space="preserve"> Functional title(s) of the contact points for the data or metadata.</w:t>
      </w:r>
    </w:p>
  </w:endnote>
  <w:endnote w:id="10">
    <w:p w14:paraId="5A1C8AAE" w14:textId="57B8C0FA" w:rsidR="00C22A2E" w:rsidRPr="004962C5" w:rsidRDefault="00C22A2E" w:rsidP="00D12D35">
      <w:pPr>
        <w:spacing w:after="0"/>
      </w:pPr>
      <w:r w:rsidRPr="004962C5">
        <w:rPr>
          <w:rStyle w:val="EndnoteReference"/>
        </w:rPr>
        <w:endnoteRef/>
      </w:r>
      <w:r w:rsidRPr="004962C5">
        <w:t xml:space="preserve"> Phone number(s) of the contact points for the data or metadata.</w:t>
      </w:r>
    </w:p>
  </w:endnote>
  <w:endnote w:id="11">
    <w:p w14:paraId="324C604F" w14:textId="5F3C6B4E" w:rsidR="00C22A2E" w:rsidRPr="004962C5" w:rsidRDefault="00C22A2E" w:rsidP="00D12D35">
      <w:pPr>
        <w:pStyle w:val="EndnoteText"/>
        <w:rPr>
          <w:sz w:val="22"/>
          <w:szCs w:val="22"/>
        </w:rPr>
      </w:pPr>
      <w:r w:rsidRPr="004962C5">
        <w:rPr>
          <w:rStyle w:val="EndnoteReference"/>
          <w:sz w:val="22"/>
          <w:szCs w:val="22"/>
        </w:rPr>
        <w:endnoteRef/>
      </w:r>
      <w:r w:rsidRPr="004962C5">
        <w:rPr>
          <w:sz w:val="22"/>
          <w:szCs w:val="22"/>
        </w:rPr>
        <w:t xml:space="preserve"> Mailing address(es) of the contact points for the data or metadata.</w:t>
      </w:r>
    </w:p>
  </w:endnote>
  <w:endnote w:id="12">
    <w:p w14:paraId="4B537325" w14:textId="28102B74"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E-mail address(es) of the contact points for the data or metadata.</w:t>
      </w:r>
    </w:p>
  </w:endnote>
  <w:endnote w:id="13">
    <w:p w14:paraId="62928C81" w14:textId="7967BD81" w:rsidR="00C22A2E" w:rsidRPr="004962C5" w:rsidRDefault="00C22A2E" w:rsidP="006F50E8">
      <w:pPr>
        <w:spacing w:after="0" w:line="240" w:lineRule="auto"/>
      </w:pPr>
      <w:r w:rsidRPr="004962C5">
        <w:rPr>
          <w:rStyle w:val="EndnoteReference"/>
        </w:rPr>
        <w:endnoteRef/>
      </w:r>
      <w:r w:rsidRPr="004962C5">
        <w:t xml:space="preserve">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endnote>
  <w:endnote w:id="14">
    <w:p w14:paraId="6450F17D" w14:textId="0ADADAE5" w:rsidR="00C22A2E" w:rsidRPr="004962C5" w:rsidRDefault="00C22A2E" w:rsidP="006F50E8">
      <w:pPr>
        <w:pStyle w:val="EndnoteText"/>
        <w:rPr>
          <w:sz w:val="22"/>
          <w:szCs w:val="22"/>
        </w:rPr>
      </w:pPr>
      <w:r w:rsidRPr="004962C5">
        <w:rPr>
          <w:rStyle w:val="EndnoteReference"/>
          <w:sz w:val="22"/>
          <w:szCs w:val="22"/>
        </w:rPr>
        <w:endnoteRef/>
      </w:r>
      <w:r w:rsidRPr="004962C5">
        <w:rPr>
          <w:sz w:val="22"/>
          <w:szCs w:val="22"/>
        </w:rPr>
        <w:t xml:space="preserve"> Description of the unit of measurement (proportion, dollars, number of people, etc.)</w:t>
      </w:r>
    </w:p>
  </w:endnote>
  <w:endnote w:id="15">
    <w:p w14:paraId="67F63178" w14:textId="66C67FC4" w:rsidR="00C22A2E" w:rsidRPr="004962C5" w:rsidRDefault="00C22A2E" w:rsidP="00091352">
      <w:pPr>
        <w:spacing w:after="0"/>
      </w:pPr>
      <w:r w:rsidRPr="004962C5">
        <w:rPr>
          <w:rStyle w:val="EndnoteReference"/>
        </w:rPr>
        <w:endnoteRef/>
      </w:r>
      <w:r w:rsidRPr="004962C5">
        <w:t xml:space="preserve"> Describe references to both national and international standards and classification being used.</w:t>
      </w:r>
    </w:p>
  </w:endnote>
  <w:endnote w:id="16">
    <w:p w14:paraId="3DDE5453" w14:textId="6FE899F8" w:rsidR="00C22A2E" w:rsidRPr="004962C5" w:rsidRDefault="00C22A2E" w:rsidP="00091352">
      <w:pPr>
        <w:spacing w:after="0"/>
      </w:pPr>
      <w:r w:rsidRPr="004962C5">
        <w:rPr>
          <w:rStyle w:val="EndnoteReference"/>
        </w:rPr>
        <w:endnoteRef/>
      </w:r>
      <w:r w:rsidRPr="004962C5">
        <w:t xml:space="preserve">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p>
  </w:endnote>
  <w:endnote w:id="17">
    <w:p w14:paraId="0B1561E5" w14:textId="4C2C1EA2" w:rsidR="00C22A2E" w:rsidRPr="004962C5" w:rsidRDefault="00C22A2E" w:rsidP="00091352">
      <w:pPr>
        <w:pStyle w:val="EndnoteText"/>
        <w:rPr>
          <w:sz w:val="22"/>
          <w:szCs w:val="22"/>
        </w:rPr>
      </w:pPr>
      <w:r w:rsidRPr="004962C5">
        <w:rPr>
          <w:rStyle w:val="EndnoteReference"/>
          <w:sz w:val="22"/>
          <w:szCs w:val="22"/>
        </w:rPr>
        <w:endnoteRef/>
      </w:r>
      <w:r w:rsidRPr="004962C5">
        <w:rPr>
          <w:sz w:val="22"/>
          <w:szCs w:val="22"/>
        </w:rP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p>
  </w:endnote>
  <w:endnote w:id="18">
    <w:p w14:paraId="5966FBDD" w14:textId="4F4C62A1"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Dates when source collection is next planned.</w:t>
      </w:r>
    </w:p>
  </w:endnote>
  <w:endnote w:id="19">
    <w:p w14:paraId="0B4DCFF1" w14:textId="0F77285B"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Expected dates of release of new data for this indicator, including the year (or, ideally, the quarter/month when the next data point associated with the indicator will become available).</w:t>
      </w:r>
    </w:p>
  </w:endnote>
  <w:endnote w:id="20">
    <w:p w14:paraId="033215F3" w14:textId="251BC95C"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Identification of national and/or international data provider(s), specifying the organization(s) responsible for producing the data.</w:t>
      </w:r>
    </w:p>
  </w:endnote>
  <w:endnote w:id="21">
    <w:p w14:paraId="7EA2C2CD" w14:textId="317B17E7"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Organization(s) responsible for compilation on this indicator either at national or global level.</w:t>
      </w:r>
    </w:p>
  </w:endnote>
  <w:endnote w:id="22">
    <w:p w14:paraId="4E9C0E45" w14:textId="79C39966"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the set of rules or other formal set of instructions assigning responsibility as well as the authority to an organisation for the collection, processing, and dissemination of statistics for this indicator.</w:t>
      </w:r>
    </w:p>
  </w:endnote>
  <w:endnote w:id="23">
    <w:p w14:paraId="63E5A97C" w14:textId="0F2BAB15"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the purpose and rationale behind the indicator, as well as examples and guidance on its correct interpretation and meaning.</w:t>
      </w:r>
    </w:p>
  </w:endnote>
  <w:endnote w:id="24">
    <w:p w14:paraId="6BF6909D" w14:textId="05D64D2F"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endnote>
  <w:endnote w:id="25">
    <w:p w14:paraId="133BAA3D" w14:textId="77E38993" w:rsidR="00C22A2E" w:rsidRPr="004962C5" w:rsidRDefault="00C22A2E" w:rsidP="00643134">
      <w:pPr>
        <w:pStyle w:val="EndnoteText"/>
        <w:rPr>
          <w:sz w:val="22"/>
          <w:szCs w:val="22"/>
        </w:rPr>
      </w:pPr>
      <w:r w:rsidRPr="004962C5">
        <w:rPr>
          <w:rStyle w:val="EndnoteReference"/>
          <w:sz w:val="22"/>
          <w:szCs w:val="22"/>
        </w:rPr>
        <w:endnoteRef/>
      </w:r>
      <w:r w:rsidRPr="004962C5">
        <w:rPr>
          <w:sz w:val="22"/>
          <w:szCs w:val="22"/>
        </w:rPr>
        <w:t xml:space="preserve"> 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endnote>
  <w:endnote w:id="26">
    <w:p w14:paraId="443A323A" w14:textId="45442E76" w:rsidR="00C22A2E" w:rsidRPr="004962C5" w:rsidRDefault="00C22A2E" w:rsidP="00643134">
      <w:pPr>
        <w:spacing w:after="0"/>
      </w:pPr>
      <w:r w:rsidRPr="004962C5">
        <w:rPr>
          <w:rStyle w:val="EndnoteReference"/>
        </w:rPr>
        <w:endnoteRef/>
      </w:r>
      <w:r w:rsidRPr="004962C5">
        <w:t xml:space="preserve"> Description of the any validation and consultation process.</w:t>
      </w:r>
    </w:p>
  </w:endnote>
  <w:endnote w:id="27">
    <w:p w14:paraId="113B05F9" w14:textId="2D930B6C" w:rsidR="00C22A2E" w:rsidRPr="004962C5" w:rsidRDefault="00C22A2E" w:rsidP="00643134">
      <w:pPr>
        <w:spacing w:after="0"/>
      </w:pPr>
      <w:r w:rsidRPr="004962C5">
        <w:rPr>
          <w:rStyle w:val="EndnoteReference"/>
        </w:rPr>
        <w:endnoteRef/>
      </w:r>
      <w:r w:rsidRPr="004962C5">
        <w:t xml:space="preserve"> Description of any adjustments with respect to use of standard classifications and harmonization of breakdowns for age group and other dimensions, or adjustments made for compliance with specific international or national definitions.</w:t>
      </w:r>
    </w:p>
  </w:endnote>
  <w:endnote w:id="28">
    <w:p w14:paraId="71A76CFB" w14:textId="430ED29B" w:rsidR="00C22A2E" w:rsidRPr="004962C5" w:rsidRDefault="00C22A2E" w:rsidP="00643134">
      <w:pPr>
        <w:spacing w:after="0"/>
      </w:pPr>
      <w:r w:rsidRPr="004962C5">
        <w:rPr>
          <w:rStyle w:val="EndnoteReference"/>
        </w:rPr>
        <w:endnoteRef/>
      </w:r>
      <w:r w:rsidRPr="004962C5">
        <w:t xml:space="preserve"> (National level) Description of the methodology employed for producing estimates for the indicator when country data are not available, including any mathematical formulas and description of additional variables used as input into the estimation process.(Regional level) Description of how missing values for individual countries or areas are imputed or otherwise estimated by international agencies to derive regional or global aggregates of the indicator.</w:t>
      </w:r>
    </w:p>
  </w:endnote>
  <w:endnote w:id="29">
    <w:p w14:paraId="1E277C38" w14:textId="5C43574B" w:rsidR="00C22A2E" w:rsidRPr="004962C5" w:rsidRDefault="00C22A2E" w:rsidP="00643134">
      <w:pPr>
        <w:pStyle w:val="EndnoteText"/>
        <w:rPr>
          <w:sz w:val="22"/>
          <w:szCs w:val="22"/>
        </w:rPr>
      </w:pPr>
      <w:r w:rsidRPr="004962C5">
        <w:rPr>
          <w:rStyle w:val="EndnoteReference"/>
          <w:sz w:val="22"/>
          <w:szCs w:val="22"/>
        </w:rPr>
        <w:endnoteRef/>
      </w:r>
      <w:r w:rsidRPr="004962C5">
        <w:rPr>
          <w:sz w:val="22"/>
          <w:szCs w:val="22"/>
        </w:rPr>
        <w:t xml:space="preserve">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p>
  </w:endnote>
  <w:endnote w:id="30">
    <w:p w14:paraId="6AA5365B" w14:textId="1F600766" w:rsidR="00C22A2E" w:rsidRPr="004962C5" w:rsidRDefault="00C22A2E" w:rsidP="002C550A">
      <w:pPr>
        <w:spacing w:after="0" w:line="240" w:lineRule="auto"/>
      </w:pPr>
      <w:r w:rsidRPr="004962C5">
        <w:rPr>
          <w:rStyle w:val="EndnoteReference"/>
        </w:rPr>
        <w:endnoteRef/>
      </w:r>
      <w:r w:rsidRPr="004962C5">
        <w:t xml:space="preserve"> Description of methodology used by countries for the compilation of data at national level and the relevant international recommendations and guidelines available to countries. Descriptions and links to all relevant reference materials should be provided.</w:t>
      </w:r>
    </w:p>
  </w:endnote>
  <w:endnote w:id="31">
    <w:p w14:paraId="6C9A0AD9" w14:textId="7779BEE8"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practices and guidelines for quality assurance followed at your agency. Description on the assessment of fulfilling quality requirements (a need or expectation that is stated). Description of consultation process with countries on the national data submitted to the SDGs Indicators Database. Descriptions and links to all relevant reference materials should be provided.</w:t>
      </w:r>
    </w:p>
  </w:endnote>
  <w:endnote w:id="32">
    <w:p w14:paraId="7D49CA4B" w14:textId="3CF638EF"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practices and guidelines for quality assurance followed at your agency.</w:t>
      </w:r>
    </w:p>
  </w:endnote>
  <w:endnote w:id="33">
    <w:p w14:paraId="30B93F9C" w14:textId="5B404BC2"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on the assessment of fulfilling quality requirements (a need or expectation that is stated).</w:t>
      </w:r>
    </w:p>
  </w:endnote>
  <w:endnote w:id="34">
    <w:p w14:paraId="6658A586" w14:textId="51E35F0E"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consultation process with countries on the national data submitted to the SDGs Indicators Database. Descriptions and links to all relevant reference materials should be provided.</w:t>
      </w:r>
    </w:p>
  </w:endnote>
  <w:endnote w:id="35">
    <w:p w14:paraId="1510AC10" w14:textId="23F656C2"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w:t>
      </w:r>
    </w:p>
  </w:endnote>
  <w:endnote w:id="36">
    <w:p w14:paraId="4C46993E" w14:textId="0A847CA7" w:rsidR="00C22A2E" w:rsidRPr="004962C5" w:rsidRDefault="00C22A2E" w:rsidP="002C550A">
      <w:pPr>
        <w:spacing w:after="0"/>
      </w:pPr>
      <w:r w:rsidRPr="004962C5">
        <w:rPr>
          <w:rStyle w:val="EndnoteReference"/>
        </w:rPr>
        <w:endnoteRef/>
      </w:r>
      <w:r w:rsidRPr="004962C5">
        <w:t xml:space="preserve"> Explanation on the differences between country produced and internationally estimated data on this indicator, highlighting and summarising the main sources of differences.</w:t>
      </w:r>
    </w:p>
  </w:endnote>
  <w:endnote w:id="37">
    <w:p w14:paraId="70B2C470" w14:textId="0E3EDB80" w:rsidR="00C22A2E" w:rsidRDefault="00C22A2E">
      <w:pPr>
        <w:pStyle w:val="EndnoteText"/>
      </w:pPr>
      <w:r w:rsidRPr="004962C5">
        <w:rPr>
          <w:rStyle w:val="EndnoteReference"/>
          <w:sz w:val="22"/>
          <w:szCs w:val="22"/>
        </w:rPr>
        <w:endnoteRef/>
      </w:r>
      <w:r w:rsidRPr="004962C5">
        <w:rPr>
          <w:sz w:val="22"/>
          <w:szCs w:val="22"/>
        </w:rPr>
        <w:t xml:space="preserve"> Descriptions and links to all relevant reference materials related to this indic</w:t>
      </w:r>
      <w:r w:rsidRPr="00B137EE">
        <w:t>ator.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91352"/>
    <w:rsid w:val="000A24C4"/>
    <w:rsid w:val="000B6681"/>
    <w:rsid w:val="000C6D3A"/>
    <w:rsid w:val="001034ED"/>
    <w:rsid w:val="001127E6"/>
    <w:rsid w:val="0012075C"/>
    <w:rsid w:val="0013388C"/>
    <w:rsid w:val="0014660A"/>
    <w:rsid w:val="00151B76"/>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E7F33"/>
    <w:rsid w:val="00406983"/>
    <w:rsid w:val="00417B9F"/>
    <w:rsid w:val="00430958"/>
    <w:rsid w:val="00433D18"/>
    <w:rsid w:val="00462DB8"/>
    <w:rsid w:val="00463306"/>
    <w:rsid w:val="00490C58"/>
    <w:rsid w:val="004962C5"/>
    <w:rsid w:val="004C665C"/>
    <w:rsid w:val="004D68B6"/>
    <w:rsid w:val="004F4616"/>
    <w:rsid w:val="00500E13"/>
    <w:rsid w:val="00514CB8"/>
    <w:rsid w:val="00514E59"/>
    <w:rsid w:val="00522827"/>
    <w:rsid w:val="0052362A"/>
    <w:rsid w:val="0053509F"/>
    <w:rsid w:val="005370AC"/>
    <w:rsid w:val="00537550"/>
    <w:rsid w:val="00560EB1"/>
    <w:rsid w:val="005803B3"/>
    <w:rsid w:val="00581C4A"/>
    <w:rsid w:val="00581D14"/>
    <w:rsid w:val="005934B1"/>
    <w:rsid w:val="005B657A"/>
    <w:rsid w:val="005C091C"/>
    <w:rsid w:val="005C76A1"/>
    <w:rsid w:val="005F7B42"/>
    <w:rsid w:val="00605AD5"/>
    <w:rsid w:val="00611159"/>
    <w:rsid w:val="00633477"/>
    <w:rsid w:val="00643134"/>
    <w:rsid w:val="0068379D"/>
    <w:rsid w:val="00693674"/>
    <w:rsid w:val="006B0512"/>
    <w:rsid w:val="006C6768"/>
    <w:rsid w:val="006D23F0"/>
    <w:rsid w:val="006F50E8"/>
    <w:rsid w:val="007100BD"/>
    <w:rsid w:val="00736C4F"/>
    <w:rsid w:val="007A078A"/>
    <w:rsid w:val="007A2617"/>
    <w:rsid w:val="007A28BA"/>
    <w:rsid w:val="007B2E39"/>
    <w:rsid w:val="007C63C4"/>
    <w:rsid w:val="007E2E6A"/>
    <w:rsid w:val="007E4EE0"/>
    <w:rsid w:val="007F4449"/>
    <w:rsid w:val="008A7300"/>
    <w:rsid w:val="008E6037"/>
    <w:rsid w:val="00924458"/>
    <w:rsid w:val="0095215C"/>
    <w:rsid w:val="0095217A"/>
    <w:rsid w:val="00952376"/>
    <w:rsid w:val="00970B70"/>
    <w:rsid w:val="00971FA7"/>
    <w:rsid w:val="009739C8"/>
    <w:rsid w:val="009D6F69"/>
    <w:rsid w:val="009E049D"/>
    <w:rsid w:val="00A167C6"/>
    <w:rsid w:val="00A3532A"/>
    <w:rsid w:val="00A36E8B"/>
    <w:rsid w:val="00A4314D"/>
    <w:rsid w:val="00A57FDE"/>
    <w:rsid w:val="00A67357"/>
    <w:rsid w:val="00A91915"/>
    <w:rsid w:val="00A92C73"/>
    <w:rsid w:val="00AA38A9"/>
    <w:rsid w:val="00AB65AE"/>
    <w:rsid w:val="00AE7A74"/>
    <w:rsid w:val="00B137EE"/>
    <w:rsid w:val="00B26EF8"/>
    <w:rsid w:val="00B71AEA"/>
    <w:rsid w:val="00B74489"/>
    <w:rsid w:val="00B97297"/>
    <w:rsid w:val="00BB553B"/>
    <w:rsid w:val="00C210B4"/>
    <w:rsid w:val="00C22A2E"/>
    <w:rsid w:val="00C35C43"/>
    <w:rsid w:val="00C605D4"/>
    <w:rsid w:val="00C94E79"/>
    <w:rsid w:val="00CA6252"/>
    <w:rsid w:val="00CC5969"/>
    <w:rsid w:val="00CF504E"/>
    <w:rsid w:val="00D12D35"/>
    <w:rsid w:val="00D17114"/>
    <w:rsid w:val="00D855E8"/>
    <w:rsid w:val="00DC4AE7"/>
    <w:rsid w:val="00DE10A6"/>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en/publication/global-monitoring-repor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en/topic/poverty/brief/global-poverty-line-faq%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worldbank.org/curated/en/2015/10/25114899/global-count-extreme-poor-2012-data-issues-methodology-initial-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research.worldbank.org/PovcalNet/index.htm" TargetMode="Externa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6B001-A5A6-48DB-AEB9-41EA6548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2020-04-10T17:02:00Z</cp:lastPrinted>
  <dcterms:created xsi:type="dcterms:W3CDTF">2020-04-10T16:59:00Z</dcterms:created>
  <dcterms:modified xsi:type="dcterms:W3CDTF">2020-04-11T20:02:00Z</dcterms:modified>
</cp:coreProperties>
</file>