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1842C55" w:rsidR="006D23F0" w:rsidRPr="006D23F0" w:rsidRDefault="006D23F0" w:rsidP="006D23F0">
      <w:r>
        <w:t>1</w:t>
      </w:r>
      <w:r w:rsidR="003700A1">
        <w:t>3</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93F5C9F" w:rsidR="00A36E8B" w:rsidRPr="003700A1" w:rsidRDefault="009A7AF3" w:rsidP="00D6262B">
            <w:pPr>
              <w:pStyle w:val="MGTHeader"/>
              <w:rPr>
                <w:rFonts w:cstheme="minorHAnsi"/>
              </w:rPr>
            </w:pPr>
            <w:r>
              <w:rPr>
                <w:rFonts w:cstheme="minorHAnsi"/>
              </w:rPr>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EDC3659" w:rsidR="00A36E8B" w:rsidRPr="003700A1" w:rsidRDefault="00D6262B" w:rsidP="003700A1">
            <w:pPr>
              <w:pStyle w:val="MGTHeader"/>
              <w:rPr>
                <w:rFonts w:cstheme="minorHAnsi"/>
              </w:rPr>
            </w:pPr>
            <w:r>
              <w:rPr>
                <w:rFonts w:cstheme="minorHAnsi"/>
              </w:rPr>
              <w:t>Target 17.1: Strengthen domestic resource mobilization, including through international support to developing countries, to improve domestic capacity for tax and other revenue collection</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1BE1BA2" w:rsidR="00A36E8B" w:rsidRPr="00D6262B" w:rsidRDefault="00D6262B" w:rsidP="00D6262B">
            <w:pPr>
              <w:pStyle w:val="MIndHeader"/>
              <w:rPr>
                <w:rFonts w:cstheme="minorHAnsi"/>
              </w:rPr>
            </w:pPr>
            <w:r>
              <w:rPr>
                <w:rFonts w:cstheme="minorHAnsi"/>
              </w:rPr>
              <w:t>Indicator 17.1.1: Total government revenue as a proportion of GDP, by source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5D0D0FD1" w:rsidR="00A36E8B" w:rsidRPr="003700A1" w:rsidRDefault="00D6262B" w:rsidP="00D6262B">
            <w:pPr>
              <w:pStyle w:val="Header"/>
              <w:rPr>
                <w:color w:val="7F7F7F" w:themeColor="text1" w:themeTint="80"/>
                <w:sz w:val="18"/>
                <w:szCs w:val="18"/>
              </w:rPr>
            </w:pPr>
            <w:r>
              <w:rPr>
                <w:color w:val="7F7F7F" w:themeColor="text1" w:themeTint="80"/>
                <w:sz w:val="18"/>
                <w:szCs w:val="18"/>
              </w:rPr>
              <w:t>Last updated: November 2017</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2A19A0B5" w:rsidR="00A36E8B" w:rsidRPr="008F179C" w:rsidRDefault="00A36E8B" w:rsidP="00D11228">
            <w:pPr>
              <w:spacing w:after="0"/>
              <w:rPr>
                <w:rFonts w:cstheme="minorHAnsi"/>
              </w:rPr>
            </w:pPr>
          </w:p>
        </w:tc>
      </w:tr>
      <w:tr w:rsidR="00A36E8B" w:rsidRPr="004D68B6" w14:paraId="3DE8357C" w14:textId="77777777" w:rsidTr="001646CE">
        <w:trPr>
          <w:trHeight w:val="1214"/>
        </w:trPr>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551803C" w14:textId="77777777" w:rsidR="00451987" w:rsidRDefault="00451987" w:rsidP="00451987">
            <w:pPr>
              <w:pStyle w:val="MHeader"/>
              <w:rPr>
                <w:rFonts w:cstheme="minorHAnsi"/>
              </w:rPr>
            </w:pPr>
            <w:r>
              <w:rPr>
                <w:rFonts w:cstheme="minorHAnsi"/>
              </w:rPr>
              <w:t>Institutional information</w:t>
            </w:r>
          </w:p>
          <w:p w14:paraId="62B1480D" w14:textId="77777777" w:rsidR="00451987" w:rsidRDefault="00451987" w:rsidP="00451987">
            <w:pPr>
              <w:pStyle w:val="MSubHeader"/>
              <w:rPr>
                <w:rFonts w:cstheme="minorHAnsi"/>
              </w:rPr>
            </w:pPr>
            <w:r>
              <w:rPr>
                <w:rFonts w:cstheme="minorHAnsi"/>
              </w:rPr>
              <w:t>Organization(s):</w:t>
            </w:r>
          </w:p>
          <w:p w14:paraId="3E0416B7" w14:textId="512BF280" w:rsidR="00A36E8B" w:rsidRPr="00451987" w:rsidRDefault="00451987" w:rsidP="00451987">
            <w:pPr>
              <w:shd w:val="clear" w:color="auto" w:fill="FFFFFF"/>
              <w:rPr>
                <w:rFonts w:cstheme="minorHAnsi"/>
                <w:color w:val="4A4A4A"/>
                <w:sz w:val="21"/>
                <w:szCs w:val="21"/>
                <w:lang w:eastAsia="en-GB"/>
              </w:rPr>
            </w:pPr>
            <w:r>
              <w:rPr>
                <w:rFonts w:cstheme="minorHAnsi"/>
                <w:color w:val="4A4A4A"/>
                <w:sz w:val="21"/>
                <w:szCs w:val="21"/>
                <w:lang w:eastAsia="en-GB"/>
              </w:rPr>
              <w:t>IMF Statistics Department (Government Finance Division)</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4" w:name="_Toc36655609"/>
            <w:bookmarkStart w:id="5" w:name="_Toc36812572"/>
            <w:bookmarkStart w:id="6" w:name="_Toc36812685"/>
            <w:bookmarkStart w:id="7" w:name="_Toc36813072"/>
            <w:r w:rsidRPr="000149A9">
              <w:t>1. Data reporter</w:t>
            </w:r>
            <w:bookmarkEnd w:id="4"/>
            <w:bookmarkEnd w:id="5"/>
            <w:bookmarkEnd w:id="6"/>
            <w:bookmarkEnd w:id="7"/>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8" w:name="_Toc36655610"/>
            <w:bookmarkStart w:id="9" w:name="_Toc36812573"/>
            <w:bookmarkStart w:id="10" w:name="_Toc36812686"/>
            <w:bookmarkStart w:id="11" w:name="_Toc36813073"/>
            <w:r w:rsidRPr="000149A9">
              <w:t>2. Definition, concepts, and classifications</w:t>
            </w:r>
            <w:bookmarkEnd w:id="8"/>
            <w:bookmarkEnd w:id="9"/>
            <w:bookmarkEnd w:id="10"/>
            <w:bookmarkEnd w:id="1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B34C1C1" w14:textId="77777777" w:rsidR="00104001" w:rsidRDefault="00104001" w:rsidP="00104001">
            <w:pPr>
              <w:pBdr>
                <w:bottom w:val="single" w:sz="12" w:space="4" w:color="DDDDDD"/>
              </w:pBdr>
              <w:shd w:val="clear" w:color="auto" w:fill="FFFFFF"/>
              <w:outlineLvl w:val="2"/>
              <w:rPr>
                <w:rFonts w:cstheme="minorHAnsi"/>
                <w:color w:val="1C75BC"/>
                <w:sz w:val="36"/>
                <w:szCs w:val="36"/>
                <w:lang w:eastAsia="en-GB"/>
              </w:rPr>
            </w:pPr>
            <w:r>
              <w:rPr>
                <w:rFonts w:cstheme="minorHAnsi"/>
                <w:color w:val="1C75BC"/>
                <w:sz w:val="36"/>
                <w:szCs w:val="36"/>
                <w:lang w:eastAsia="en-GB"/>
              </w:rPr>
              <w:t>Concepts and definitions</w:t>
            </w:r>
          </w:p>
          <w:p w14:paraId="01F9B57A" w14:textId="77777777" w:rsidR="00104001" w:rsidRDefault="00104001" w:rsidP="00104001">
            <w:pPr>
              <w:pStyle w:val="MText"/>
              <w:rPr>
                <w:rFonts w:cstheme="minorHAnsi"/>
              </w:rPr>
            </w:pPr>
            <w:r>
              <w:rPr>
                <w:rFonts w:cstheme="minorHAnsi"/>
                <w:b/>
                <w:shd w:val="clear" w:color="auto" w:fill="F9F9F9"/>
              </w:rPr>
              <w:t xml:space="preserve">Definition: </w:t>
            </w:r>
            <w:r>
              <w:rPr>
                <w:rFonts w:cstheme="minorHAnsi"/>
              </w:rPr>
              <w:t xml:space="preserve">Revenue is defined in Chapter 4 (paragraph 4.23) of </w:t>
            </w:r>
            <w:r>
              <w:rPr>
                <w:rFonts w:cstheme="minorHAnsi"/>
                <w:i/>
              </w:rPr>
              <w:t>GFSM 2014</w:t>
            </w:r>
            <w:r>
              <w:rPr>
                <w:rFonts w:cstheme="minorHAnsi"/>
              </w:rPr>
              <w:t xml:space="preserve"> an increase in net worth resulting from a </w:t>
            </w:r>
            <w:r>
              <w:rPr>
                <w:rFonts w:cstheme="minorHAnsi"/>
              </w:rPr>
              <w:lastRenderedPageBreak/>
              <w:t xml:space="preserve">transaction. It is a fiscal indicator for assessing the sustainability of fiscal activities. General government units have four types of revenue. The major types of revenue are taxes (GFS code 11), social contributions (GFS code 12), grants (GFS code 13), and other revenue (GFS code 14). Of these, compulsory levies and transfers are the main sources of revenue for most general government units. In particular, taxes are compulsory, unrequited amounts receivable by government units from institutional units. Social contributions are actual or imputed revenue receivable by social insurance schemes to make provision for social insurance benefits payable. Grants are transfers receivable by government units from other resident or </w:t>
            </w:r>
            <w:proofErr w:type="spellStart"/>
            <w:r>
              <w:rPr>
                <w:rFonts w:cstheme="minorHAnsi"/>
              </w:rPr>
              <w:t>nonresident</w:t>
            </w:r>
            <w:proofErr w:type="spellEnd"/>
            <w:r>
              <w:rPr>
                <w:rFonts w:cstheme="minorHAnsi"/>
              </w:rPr>
              <w:t xml:space="preserve"> government units or international organizations, and that do not meet the definition of a tax, subsidy, or social contribution. Other revenue is all revenue receivable excluding taxes, social contributions, and grants. Other revenue comprises: (</w:t>
            </w:r>
            <w:proofErr w:type="spellStart"/>
            <w:r>
              <w:rPr>
                <w:rFonts w:cstheme="minorHAnsi"/>
              </w:rPr>
              <w:t>i</w:t>
            </w:r>
            <w:proofErr w:type="spellEnd"/>
            <w:r>
              <w:rPr>
                <w:rFonts w:cstheme="minorHAnsi"/>
              </w:rPr>
              <w:t>) property income; (ii) sales of goods and services; (iii) fines, penalties, and forfeits; (iv) transfers not elsewhere classified; and (v) premiums, fees, and claims related to nonlife insurance and standardized guarantee schemes.</w:t>
            </w:r>
          </w:p>
          <w:p w14:paraId="63B3AAD0" w14:textId="77777777" w:rsidR="00104001" w:rsidRDefault="00104001" w:rsidP="00104001">
            <w:pPr>
              <w:pStyle w:val="MText"/>
              <w:rPr>
                <w:rFonts w:cstheme="minorHAnsi"/>
              </w:rPr>
            </w:pPr>
          </w:p>
          <w:p w14:paraId="7DA6E8AF" w14:textId="7E2E991E" w:rsidR="00334DB3" w:rsidRPr="00B6605A" w:rsidRDefault="00104001" w:rsidP="00104001">
            <w:pPr>
              <w:pStyle w:val="MText"/>
              <w:rPr>
                <w:rFonts w:cstheme="minorHAnsi"/>
              </w:rPr>
            </w:pPr>
            <w:r>
              <w:rPr>
                <w:rFonts w:cstheme="minorHAnsi"/>
                <w:b/>
                <w:shd w:val="clear" w:color="auto" w:fill="F9F9F9"/>
              </w:rPr>
              <w:t xml:space="preserve">Concepts: </w:t>
            </w:r>
            <w:r>
              <w:rPr>
                <w:rFonts w:cstheme="minorHAnsi"/>
              </w:rPr>
              <w:t xml:space="preserve">The transactions and the associated classifications are detailed in Chapter 5 of </w:t>
            </w:r>
            <w:r>
              <w:rPr>
                <w:rFonts w:cstheme="minorHAnsi"/>
                <w:i/>
              </w:rPr>
              <w:t>GFSM 2014</w:t>
            </w:r>
            <w:r>
              <w:rPr>
                <w:rFonts w:cstheme="minorHAnsi"/>
              </w:rPr>
              <w:t xml:space="preserve"> and are structured to demonstrate how general government (and public sector) units raise revenue. Only those taxes and social insurance contributions that are evidenced by tax assessments and declarations, customs declarations, and similar documents are considered to create revenue for government units. Thus, the difference between assessments and expected collections represents a claim that has no real value and should not be recorded as revenue (see </w:t>
            </w:r>
            <w:r>
              <w:rPr>
                <w:rFonts w:cstheme="minorHAnsi"/>
                <w:i/>
              </w:rPr>
              <w:t>GFSM 2014</w:t>
            </w:r>
            <w:r>
              <w:rPr>
                <w:rFonts w:cstheme="minorHAnsi"/>
              </w:rPr>
              <w:t xml:space="preserve"> paragraph 5.20). The analytic framework of </w:t>
            </w:r>
            <w:r>
              <w:rPr>
                <w:rFonts w:cstheme="minorHAnsi"/>
                <w:i/>
              </w:rPr>
              <w:t>GFSM 2014</w:t>
            </w:r>
            <w:r>
              <w:rPr>
                <w:rFonts w:cstheme="minorHAnsi"/>
              </w:rPr>
              <w:t xml:space="preserve"> (like that of the </w:t>
            </w:r>
            <w:r>
              <w:rPr>
                <w:rFonts w:cstheme="minorHAnsi"/>
                <w:i/>
              </w:rPr>
              <w:t>GFSM 2001</w:t>
            </w:r>
            <w:r>
              <w:rPr>
                <w:rFonts w:cstheme="minorHAnsi"/>
              </w:rPr>
              <w:t xml:space="preserve">) builds on the </w:t>
            </w:r>
            <w:r>
              <w:rPr>
                <w:rFonts w:cstheme="minorHAnsi"/>
                <w:i/>
              </w:rPr>
              <w:t>GFSM 1986</w:t>
            </w:r>
            <w:r>
              <w:rPr>
                <w:rFonts w:cstheme="minorHAnsi"/>
              </w:rPr>
              <w:t xml:space="preserve"> framework, and extends it by incorporating additional elements that are useful in assessing fiscal policy. An important example is the treatment of nonfinancial assets, where the sale of such assets is no longer included in revenue. The disposal of a nonfinancial asset by sale or barter is not revenue because it has no effect on net worth. Rather, it changes the composition of the balance sheet by exchanging one asset (the nonfinancial asset) for another (the proceeds of the sale). Similarly, amounts receivable from loan repayments and loan disbursements are not revenue. In general, transactions that increase net worth result from current </w:t>
            </w:r>
            <w:r>
              <w:rPr>
                <w:rFonts w:cstheme="minorHAnsi"/>
              </w:rPr>
              <w:lastRenderedPageBreak/>
              <w:t xml:space="preserve">operations. Capital transfers are an exception. In </w:t>
            </w:r>
            <w:r>
              <w:rPr>
                <w:rFonts w:cstheme="minorHAnsi"/>
                <w:i/>
              </w:rPr>
              <w:t>GFSM 2014</w:t>
            </w:r>
            <w:r>
              <w:rPr>
                <w:rFonts w:cstheme="minorHAnsi"/>
              </w:rPr>
              <w:t xml:space="preserve">, capital transfers receivable </w:t>
            </w:r>
            <w:proofErr w:type="gramStart"/>
            <w:r>
              <w:rPr>
                <w:rFonts w:cstheme="minorHAnsi"/>
              </w:rPr>
              <w:t>are</w:t>
            </w:r>
            <w:proofErr w:type="gramEnd"/>
            <w:r>
              <w:rPr>
                <w:rFonts w:cstheme="minorHAnsi"/>
              </w:rPr>
              <w:t xml:space="preserve"> classified as revenue because they increase the recipient’s net worth and they are often indistinguishable from current transfers in their effect on government operations. In recording cash-based accounting revenue transactions, data representing the tax payments received by government, net of refunds paid out during the period covered should be reported. These data will include taxes paid after the original assessment, taxes paid or refunds deducted from taxes after subsequent assessments, and taxes paid or refunds deducted after any subsequent reopening of the accounts. Therefore, total tax revenue could be presented on a gross basis as the total amount of all taxes accrued, or on a net basis as the gross amount minus tax refunds. Revenue categories are presented gross of expense categories for the same or related category. In particular, interest revenue is presented gross rather than as net interest expense or net interest revenue. Similarly, social benefits and social contributions, grant revenue and expense, and rent revenue and expense are presented gross. Also, sales of goods and services are presented gross of the expenses incurred in their production. In cases of erroneous or unauthorized transactions, revenue categories are presented net of refunds of the relevant revenue, and expense categories are presented net of inflows from the recovery of the expense. For example, refunds of income taxes may be paid when the amount of taxes withheld or otherwise paid in advance of the final determination exceeds the actual tax due. Such refunds are recorded as a reduction in tax revenue. For this reason, tax revenue is presented net of non-payable tax credits (see </w:t>
            </w:r>
            <w:r>
              <w:rPr>
                <w:rFonts w:cstheme="minorHAnsi"/>
                <w:i/>
              </w:rPr>
              <w:t>GFSM 2014</w:t>
            </w:r>
            <w:r>
              <w:rPr>
                <w:rFonts w:cstheme="minorHAnsi"/>
              </w:rPr>
              <w:t xml:space="preserve"> paragraphs 5.29–5.32).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2" w:name="_Toc36636923"/>
            <w:bookmarkStart w:id="13" w:name="_Toc36655611"/>
            <w:bookmarkStart w:id="14" w:name="_Toc36812574"/>
            <w:bookmarkStart w:id="15" w:name="_Toc36812687"/>
            <w:bookmarkStart w:id="16" w:name="_Toc36813074"/>
            <w:r w:rsidRPr="000149A9">
              <w:t>3</w:t>
            </w:r>
            <w:r w:rsidR="004C665C" w:rsidRPr="000149A9">
              <w:t>. Data source type and data collection method</w:t>
            </w:r>
            <w:bookmarkEnd w:id="12"/>
            <w:bookmarkEnd w:id="13"/>
            <w:bookmarkEnd w:id="14"/>
            <w:bookmarkEnd w:id="15"/>
            <w:bookmarkEnd w:id="16"/>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BD916E5" w14:textId="77777777" w:rsidR="00104001" w:rsidRDefault="00104001" w:rsidP="00104001">
            <w:pPr>
              <w:pBdr>
                <w:bottom w:val="single" w:sz="12" w:space="4" w:color="DDDDDD"/>
              </w:pBdr>
              <w:shd w:val="clear" w:color="auto" w:fill="FFFFFF"/>
              <w:outlineLvl w:val="2"/>
              <w:rPr>
                <w:rFonts w:cstheme="minorHAnsi"/>
                <w:color w:val="1C75BC"/>
                <w:sz w:val="36"/>
                <w:szCs w:val="36"/>
                <w:lang w:eastAsia="en-GB"/>
              </w:rPr>
            </w:pPr>
            <w:r>
              <w:rPr>
                <w:rFonts w:cstheme="minorHAnsi"/>
                <w:color w:val="1C75BC"/>
                <w:sz w:val="36"/>
                <w:szCs w:val="36"/>
                <w:lang w:eastAsia="en-GB"/>
              </w:rPr>
              <w:t>Data Sources</w:t>
            </w:r>
          </w:p>
          <w:p w14:paraId="025043C9" w14:textId="77777777" w:rsidR="00104001" w:rsidRDefault="00104001" w:rsidP="00104001">
            <w:pPr>
              <w:pStyle w:val="MText"/>
              <w:rPr>
                <w:rFonts w:cstheme="minorHAnsi"/>
                <w:sz w:val="14"/>
              </w:rPr>
            </w:pPr>
          </w:p>
          <w:p w14:paraId="5C451B68" w14:textId="04E49CBF" w:rsidR="00104001" w:rsidRDefault="00104001" w:rsidP="00104001">
            <w:pPr>
              <w:pStyle w:val="MSubHeader"/>
              <w:rPr>
                <w:rFonts w:cstheme="minorHAnsi"/>
              </w:rPr>
            </w:pPr>
            <w:r>
              <w:rPr>
                <w:rFonts w:cstheme="minorHAnsi"/>
                <w:shd w:val="clear" w:color="auto" w:fill="F9F9F9"/>
              </w:rPr>
              <w:t>Sources and data</w:t>
            </w:r>
            <w:r>
              <w:rPr>
                <w:rFonts w:cstheme="minorHAnsi"/>
                <w:spacing w:val="-7"/>
                <w:shd w:val="clear" w:color="auto" w:fill="F9F9F9"/>
              </w:rPr>
              <w:t xml:space="preserve"> </w:t>
            </w:r>
            <w:r>
              <w:rPr>
                <w:rFonts w:cstheme="minorHAnsi"/>
                <w:shd w:val="clear" w:color="auto" w:fill="F9F9F9"/>
              </w:rPr>
              <w:t>collection:</w:t>
            </w:r>
          </w:p>
          <w:p w14:paraId="1EE62008" w14:textId="3387117E" w:rsidR="00104001" w:rsidRPr="00C22F94" w:rsidRDefault="00104001" w:rsidP="00612417">
            <w:pPr>
              <w:pStyle w:val="MText"/>
              <w:rPr>
                <w:rFonts w:cstheme="minorHAnsi"/>
              </w:rPr>
            </w:pPr>
            <w:r>
              <w:rPr>
                <w:rFonts w:cstheme="minorHAnsi"/>
              </w:rPr>
              <w:t xml:space="preserve">The actual and recommended sources of data for deriving this indicator are the fiscal statistics reported to the IMF’s Statistics </w:t>
            </w:r>
            <w:r>
              <w:rPr>
                <w:rFonts w:cstheme="minorHAnsi"/>
              </w:rPr>
              <w:lastRenderedPageBreak/>
              <w:t>Department. These come from various national agencies (Ministries of Finance, Central Banks, National Statistics Offices, etc.) and are compiled according to a standardized method for data collection: the annual GFS Questionnaire. In the 2017 annual reporting cycle, 127 countries reported the relevant series for monitoring indicator 17.1.1. For current non-reporting countries that have demonstrated the capacity to compile and report the relevant GFS revenue series, the IMF Statistics Department is engaged in outreach to the national authorities, in consultation with the respective IMF Area Departments and Offices of the Executive Director, as needed. Capacity Development activities will seek to address data deficiencies, including through regional workshops. The steps outlined above should allow, over time, for covering virtually the entire IMF membership.</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05FC2FE8" w:rsidR="00AB65AE" w:rsidRPr="00240AFC" w:rsidRDefault="00AB65AE" w:rsidP="00226099">
            <w:pPr>
              <w:pStyle w:val="MText"/>
              <w:rPr>
                <w:rFonts w:cstheme="minorHAnsi"/>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1CA26135" w14:textId="77777777" w:rsidR="006D6F88" w:rsidRDefault="006D6F88" w:rsidP="006D6F88">
            <w:pPr>
              <w:pBdr>
                <w:bottom w:val="single" w:sz="12" w:space="4" w:color="DDDDDD"/>
              </w:pBdr>
              <w:shd w:val="clear" w:color="auto" w:fill="FFFFFF"/>
              <w:outlineLvl w:val="2"/>
              <w:rPr>
                <w:rFonts w:cstheme="minorHAnsi"/>
                <w:color w:val="1C75BC"/>
                <w:sz w:val="36"/>
                <w:szCs w:val="36"/>
                <w:lang w:eastAsia="en-GB"/>
              </w:rPr>
            </w:pPr>
            <w:r>
              <w:rPr>
                <w:rFonts w:cstheme="minorHAnsi"/>
                <w:color w:val="1C75BC"/>
                <w:sz w:val="36"/>
                <w:szCs w:val="36"/>
                <w:lang w:eastAsia="en-GB"/>
              </w:rPr>
              <w:t>Calendar</w:t>
            </w:r>
          </w:p>
          <w:p w14:paraId="1C77F9A2" w14:textId="77777777" w:rsidR="006D6F88" w:rsidRDefault="006D6F88" w:rsidP="006D6F88">
            <w:pPr>
              <w:pStyle w:val="MSubHeader"/>
              <w:rPr>
                <w:rFonts w:cstheme="minorHAnsi"/>
              </w:rPr>
            </w:pPr>
            <w:r>
              <w:rPr>
                <w:rFonts w:cstheme="minorHAnsi"/>
              </w:rPr>
              <w:t>Data collection and data release</w:t>
            </w:r>
            <w:r>
              <w:rPr>
                <w:rFonts w:cstheme="minorHAnsi"/>
                <w:spacing w:val="-12"/>
              </w:rPr>
              <w:t xml:space="preserve"> </w:t>
            </w:r>
            <w:r>
              <w:rPr>
                <w:rFonts w:cstheme="minorHAnsi"/>
              </w:rPr>
              <w:t>calendar</w:t>
            </w:r>
          </w:p>
          <w:p w14:paraId="41B08B5A" w14:textId="77777777" w:rsidR="006D6F88" w:rsidRDefault="006D6F88" w:rsidP="006D6F88">
            <w:pPr>
              <w:pStyle w:val="MText"/>
              <w:rPr>
                <w:rFonts w:cstheme="minorHAnsi"/>
              </w:rPr>
            </w:pPr>
            <w:r>
              <w:rPr>
                <w:rFonts w:cstheme="minorHAnsi"/>
              </w:rPr>
              <w:t xml:space="preserve">Dates </w:t>
            </w:r>
            <w:bookmarkStart w:id="17" w:name="_Hlk506008609"/>
            <w:r>
              <w:rPr>
                <w:rFonts w:cstheme="minorHAnsi"/>
              </w:rPr>
              <w:t>when source collection is next</w:t>
            </w:r>
            <w:r>
              <w:rPr>
                <w:rFonts w:cstheme="minorHAnsi"/>
                <w:spacing w:val="-10"/>
              </w:rPr>
              <w:t xml:space="preserve"> </w:t>
            </w:r>
            <w:r>
              <w:rPr>
                <w:rFonts w:cstheme="minorHAnsi"/>
              </w:rPr>
              <w:t xml:space="preserve">planned: IMF Statistics Department completed the 2017 round of annual GFS collection on February 2, 2018. The 2018 collection cycle is planned to take place between September and December 2018. </w:t>
            </w:r>
          </w:p>
          <w:p w14:paraId="2CDECAD2" w14:textId="77777777" w:rsidR="006D6F88" w:rsidRDefault="006D6F88" w:rsidP="006D6F88">
            <w:pPr>
              <w:pStyle w:val="MText"/>
              <w:rPr>
                <w:rFonts w:cstheme="minorHAnsi"/>
              </w:rPr>
            </w:pPr>
          </w:p>
          <w:p w14:paraId="5805C371" w14:textId="6B89E6D5" w:rsidR="00AB65AE" w:rsidRPr="003525CD" w:rsidRDefault="006D6F88" w:rsidP="006D6F88">
            <w:pPr>
              <w:pStyle w:val="MText"/>
              <w:rPr>
                <w:rFonts w:cstheme="minorHAnsi"/>
              </w:rPr>
            </w:pPr>
            <w:r>
              <w:rPr>
                <w:rFonts w:cstheme="minorHAnsi"/>
              </w:rPr>
              <w:t>Country data are disseminated as they are processed and summary World Tables and other indicators, including 17.1.1 and 17.1.2 are planned for release in early 2018. For most countries, the reference year will be their Fiscal Year 2016 series, with 2012-2015 presented to illustrate trends.</w:t>
            </w:r>
            <w:bookmarkEnd w:id="17"/>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097FA4BD" w14:textId="72110592" w:rsidR="00AB65AE" w:rsidRPr="003525CD" w:rsidRDefault="00AB65AE" w:rsidP="003525CD">
            <w:pPr>
              <w:pStyle w:val="Default"/>
              <w:rPr>
                <w:rFonts w:asciiTheme="minorHAnsi" w:hAnsiTheme="minorHAnsi" w:cstheme="minorHAnsi"/>
                <w:sz w:val="21"/>
                <w:szCs w:val="21"/>
              </w:rPr>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406AF515" w14:textId="38F10C4B" w:rsidR="00AB65AE" w:rsidRPr="003525CD" w:rsidRDefault="00AB65AE" w:rsidP="003525CD">
            <w:pPr>
              <w:pStyle w:val="Default"/>
              <w:rPr>
                <w:rFonts w:asciiTheme="minorHAnsi" w:hAnsiTheme="minorHAnsi" w:cstheme="minorHAnsi"/>
                <w:sz w:val="21"/>
                <w:szCs w:val="21"/>
              </w:rPr>
            </w:pP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73108C7E" w14:textId="77777777" w:rsidR="006D6F88" w:rsidRDefault="006D6F88" w:rsidP="006D6F88">
            <w:pPr>
              <w:pBdr>
                <w:bottom w:val="single" w:sz="12" w:space="4" w:color="DDDDDD"/>
              </w:pBdr>
              <w:shd w:val="clear" w:color="auto" w:fill="FFFFFF"/>
              <w:outlineLvl w:val="2"/>
              <w:rPr>
                <w:rFonts w:cstheme="minorHAnsi"/>
                <w:color w:val="1C75BC"/>
                <w:sz w:val="36"/>
                <w:szCs w:val="36"/>
                <w:lang w:eastAsia="en-GB"/>
              </w:rPr>
            </w:pPr>
            <w:r>
              <w:rPr>
                <w:rFonts w:cstheme="minorHAnsi"/>
                <w:color w:val="1C75BC"/>
                <w:sz w:val="36"/>
                <w:szCs w:val="36"/>
                <w:lang w:eastAsia="en-GB"/>
              </w:rPr>
              <w:t>Data compilers</w:t>
            </w:r>
          </w:p>
          <w:p w14:paraId="39191C53" w14:textId="5EED6A9A" w:rsidR="00AB65AE" w:rsidRPr="003525CD" w:rsidRDefault="006D6F88" w:rsidP="006D6F88">
            <w:pPr>
              <w:pStyle w:val="MText"/>
              <w:rPr>
                <w:rFonts w:cstheme="minorHAnsi"/>
              </w:rPr>
            </w:pPr>
            <w:r>
              <w:rPr>
                <w:rFonts w:cstheme="minorHAnsi"/>
              </w:rPr>
              <w:t xml:space="preserve">The IMF Statistics Department (Government Finance Division; email: </w:t>
            </w:r>
            <w:hyperlink r:id="rId8" w:history="1">
              <w:r>
                <w:rPr>
                  <w:rStyle w:val="Hyperlink"/>
                  <w:rFonts w:eastAsiaTheme="majorEastAsia" w:cstheme="minorHAnsi"/>
                </w:rPr>
                <w:t>STAGODATA@imf.org</w:t>
              </w:r>
            </w:hyperlink>
            <w:r>
              <w:rPr>
                <w:rFonts w:cstheme="minorHAnsi"/>
              </w:rPr>
              <w:t>) is the organization responsible for the compilation and reporting on this indicator at the global</w:t>
            </w:r>
            <w:r>
              <w:rPr>
                <w:rFonts w:cstheme="minorHAnsi"/>
                <w:spacing w:val="-27"/>
              </w:rPr>
              <w:t xml:space="preserve"> </w:t>
            </w:r>
            <w:r>
              <w:rPr>
                <w:rFonts w:cstheme="minorHAnsi"/>
              </w:rPr>
              <w:t>level.</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4.a. Rationale</w:t>
            </w:r>
          </w:p>
        </w:tc>
        <w:tc>
          <w:tcPr>
            <w:tcW w:w="3261" w:type="pct"/>
            <w:tcBorders>
              <w:top w:val="single" w:sz="4" w:space="0" w:color="auto"/>
              <w:left w:val="nil"/>
              <w:bottom w:val="single" w:sz="4" w:space="0" w:color="auto"/>
              <w:right w:val="single" w:sz="4" w:space="0" w:color="auto"/>
            </w:tcBorders>
            <w:shd w:val="clear" w:color="auto" w:fill="auto"/>
          </w:tcPr>
          <w:p w14:paraId="575BB47B" w14:textId="143EBC66" w:rsidR="000557BF" w:rsidRPr="000557BF" w:rsidRDefault="000557BF" w:rsidP="000557BF">
            <w:pPr>
              <w:pStyle w:val="MText"/>
              <w:rPr>
                <w:rFonts w:cstheme="minorHAnsi"/>
                <w:b/>
                <w:bCs/>
              </w:rPr>
            </w:pPr>
            <w:r w:rsidRPr="000557BF">
              <w:rPr>
                <w:rFonts w:cstheme="minorHAnsi"/>
                <w:b/>
                <w:bCs/>
                <w:shd w:val="clear" w:color="auto" w:fill="F9F9F9"/>
              </w:rPr>
              <w:t>Rationale and</w:t>
            </w:r>
            <w:r w:rsidRPr="000557BF">
              <w:rPr>
                <w:rFonts w:cstheme="minorHAnsi"/>
                <w:b/>
                <w:bCs/>
                <w:spacing w:val="-8"/>
                <w:shd w:val="clear" w:color="auto" w:fill="F9F9F9"/>
              </w:rPr>
              <w:t xml:space="preserve"> </w:t>
            </w:r>
            <w:r w:rsidRPr="000557BF">
              <w:rPr>
                <w:rFonts w:cstheme="minorHAnsi"/>
                <w:b/>
                <w:bCs/>
                <w:shd w:val="clear" w:color="auto" w:fill="F9F9F9"/>
              </w:rPr>
              <w:t>interpretation:</w:t>
            </w:r>
          </w:p>
          <w:p w14:paraId="6F5859B0" w14:textId="34E97620" w:rsidR="007C63C4" w:rsidRPr="000557BF" w:rsidRDefault="000557BF" w:rsidP="001646CE">
            <w:pPr>
              <w:pStyle w:val="MText"/>
            </w:pPr>
            <w:r w:rsidRPr="001646CE">
              <w:t>Fiscal policy is the use of the level and composition of the general government and public sectors’ spending and revenue—and the related accumulation of government assets and liabilities—to achieve such goals as the stabilization of the economy, the reallocation of resources, and the redistribution of income. In addition to revenue mobilization, government units may also finance a portion of their activities in a specific period by borrowing or by acquiring funds from sources other than compulsory transfers—for example, interest revenue, incidental sales of goods and services, or the rent of subsoil assets. Indicator 17.1.1 Total government revenue as a proportion of GDP, by source supports understanding countries’ domestic revenue mobilization in the form of tax and nontax sources. The indicator will provide analysts with a cross-country comparable dataset that highlights the r</w:t>
            </w:r>
            <w:bookmarkStart w:id="22" w:name="_Hlk505925709"/>
            <w:r w:rsidRPr="001646CE">
              <w:t>elationship between the four main types of revenue as well as the relative "tax burden" (revenue in the form of taxes) and</w:t>
            </w:r>
            <w:bookmarkEnd w:id="22"/>
            <w:r w:rsidRPr="001646CE">
              <w:t xml:space="preserve"> “fiscal burden” (revenue in the form of taxes plus social contributions).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8DF7013" w14:textId="57D5E6EE" w:rsidR="00612417" w:rsidRDefault="00612417" w:rsidP="00612417">
            <w:pPr>
              <w:pStyle w:val="MSubHeader"/>
              <w:rPr>
                <w:rFonts w:cstheme="minorHAnsi"/>
              </w:rPr>
            </w:pPr>
            <w:r>
              <w:rPr>
                <w:rFonts w:cstheme="minorHAnsi"/>
                <w:shd w:val="clear" w:color="auto" w:fill="F9F9F9"/>
              </w:rPr>
              <w:t>Comments and</w:t>
            </w:r>
            <w:r>
              <w:rPr>
                <w:rFonts w:cstheme="minorHAnsi"/>
                <w:spacing w:val="-10"/>
                <w:shd w:val="clear" w:color="auto" w:fill="F9F9F9"/>
              </w:rPr>
              <w:t xml:space="preserve"> </w:t>
            </w:r>
            <w:r>
              <w:rPr>
                <w:rFonts w:cstheme="minorHAnsi"/>
                <w:shd w:val="clear" w:color="auto" w:fill="F9F9F9"/>
              </w:rPr>
              <w:t>limitations:</w:t>
            </w:r>
          </w:p>
          <w:p w14:paraId="2EDB7301" w14:textId="77777777" w:rsidR="00612417" w:rsidRDefault="00612417" w:rsidP="00612417">
            <w:pPr>
              <w:pStyle w:val="MText"/>
              <w:rPr>
                <w:rFonts w:cstheme="minorHAnsi"/>
              </w:rPr>
            </w:pPr>
            <w:bookmarkStart w:id="23" w:name="_Hlk505926271"/>
            <w:r>
              <w:rPr>
                <w:rFonts w:cstheme="minorHAnsi"/>
              </w:rPr>
              <w:t xml:space="preserve">In principle, GFS should cover all entities that materially affect fiscal policies. Cross-country comparisons are ideally made with reference to the consolidated general government sector. However, for most developing and many emerging market economies, compiling data for the consolidated general government and its subsectors is problematic owing to limitations in the availability and/or timeliness of source data. For example, a country may have one central government; several state, provincial, or regional governments; and many local governments. Countries may also have social security funds. The </w:t>
            </w:r>
            <w:r>
              <w:rPr>
                <w:rFonts w:cstheme="minorHAnsi"/>
                <w:i/>
              </w:rPr>
              <w:t>GFSM 201</w:t>
            </w:r>
            <w:r>
              <w:rPr>
                <w:rFonts w:cstheme="minorHAnsi"/>
              </w:rPr>
              <w:t>4 recommends that statistics should be compiled for all such general government units. This reporting structure is illustrated below:</w:t>
            </w:r>
          </w:p>
          <w:p w14:paraId="33D7A8A2" w14:textId="77777777" w:rsidR="00612417" w:rsidRDefault="00612417" w:rsidP="00612417">
            <w:pPr>
              <w:pStyle w:val="MText"/>
              <w:rPr>
                <w:rFonts w:cstheme="minorHAnsi"/>
              </w:rPr>
            </w:pPr>
          </w:p>
          <w:p w14:paraId="736D1C53" w14:textId="52A1FAFE" w:rsidR="00612417" w:rsidRDefault="00612417" w:rsidP="00612417">
            <w:pPr>
              <w:pStyle w:val="MText"/>
              <w:rPr>
                <w:rFonts w:cstheme="minorHAnsi"/>
              </w:rPr>
            </w:pPr>
            <w:r>
              <w:rPr>
                <w:rFonts w:cstheme="minorHAnsi"/>
                <w:noProof/>
                <w:lang w:eastAsia="zh-TW"/>
              </w:rPr>
              <w:drawing>
                <wp:inline distT="0" distB="0" distL="0" distR="0" wp14:anchorId="5C6063BF" wp14:editId="20A770E0">
                  <wp:extent cx="3578225" cy="43497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225" cy="434975"/>
                          </a:xfrm>
                          <a:prstGeom prst="rect">
                            <a:avLst/>
                          </a:prstGeom>
                          <a:noFill/>
                          <a:ln>
                            <a:noFill/>
                          </a:ln>
                        </pic:spPr>
                      </pic:pic>
                    </a:graphicData>
                  </a:graphic>
                </wp:inline>
              </w:drawing>
            </w:r>
          </w:p>
          <w:p w14:paraId="3BE49550" w14:textId="77777777" w:rsidR="00612417" w:rsidRDefault="00612417" w:rsidP="00612417">
            <w:pPr>
              <w:pStyle w:val="MText"/>
              <w:rPr>
                <w:rFonts w:cstheme="minorHAnsi"/>
              </w:rPr>
            </w:pPr>
          </w:p>
          <w:p w14:paraId="4B40ECF6" w14:textId="77777777" w:rsidR="00612417" w:rsidRDefault="00612417" w:rsidP="00612417">
            <w:pPr>
              <w:pStyle w:val="MText"/>
              <w:rPr>
                <w:rFonts w:cstheme="minorHAnsi"/>
              </w:rPr>
            </w:pPr>
            <w:r>
              <w:rPr>
                <w:rFonts w:cstheme="minorHAnsi"/>
              </w:rPr>
              <w:t xml:space="preserve">Some countries report data for the consolidated general government with one or more sub-sectors not separately reported. Similarly, there are some countries that report “consolidated central government” without necessarily providing the budgetary central government subsector separately. </w:t>
            </w:r>
          </w:p>
          <w:bookmarkEnd w:id="23"/>
          <w:p w14:paraId="14CF7D79" w14:textId="77777777" w:rsidR="00612417" w:rsidRDefault="00612417" w:rsidP="00612417">
            <w:pPr>
              <w:pStyle w:val="MText"/>
              <w:rPr>
                <w:rFonts w:cstheme="minorHAnsi"/>
              </w:rPr>
            </w:pPr>
            <w:r>
              <w:rPr>
                <w:rFonts w:cstheme="minorHAnsi"/>
              </w:rPr>
              <w:lastRenderedPageBreak/>
              <w:t xml:space="preserve">Conceptually, a World Aggregate could be calculated by computing a weighted average from available sources using GDP expressed in United States dollars. However, at this time the IMF Statistics Department recommends no regional and global aggregates be established. While we see no issues in terms of the feasibility and suitability of 17.1.1 for cross-country comparisons, we question the relevance of one single global indicator that combines data for advanced economies with those of emerging market and low-income countries. To address this, the country data are presented, where reported, for the budgetary central government, the consolidated central government (with and without social security funds), and for consolidated general government. </w:t>
            </w:r>
          </w:p>
          <w:p w14:paraId="770D5834" w14:textId="77777777" w:rsidR="00612417" w:rsidRDefault="00612417" w:rsidP="00612417">
            <w:pPr>
              <w:pStyle w:val="MText"/>
              <w:rPr>
                <w:rFonts w:cstheme="minorHAnsi"/>
              </w:rPr>
            </w:pPr>
          </w:p>
          <w:p w14:paraId="328C0885" w14:textId="10C1047D" w:rsidR="007C63C4" w:rsidRPr="00334DB3" w:rsidRDefault="00612417" w:rsidP="00612417">
            <w:pPr>
              <w:pStyle w:val="MText"/>
              <w:rPr>
                <w:rFonts w:cstheme="minorHAnsi"/>
              </w:rPr>
            </w:pPr>
            <w:r>
              <w:rPr>
                <w:rFonts w:cstheme="minorHAnsi"/>
              </w:rPr>
              <w:t xml:space="preserve">For many emerging market and low-income countries with limited statistical capacity, budgetary central government is considered the most appropriate level of institutional coverage for comparison purposes. Budgetary central government, as described in </w:t>
            </w:r>
            <w:r>
              <w:rPr>
                <w:rFonts w:cstheme="minorHAnsi"/>
                <w:i/>
              </w:rPr>
              <w:t>GFSM 2014</w:t>
            </w:r>
            <w:r>
              <w:rPr>
                <w:rFonts w:cstheme="minorHAnsi"/>
              </w:rPr>
              <w:t xml:space="preserve"> (paragraph 2.81), is an institutional unit of the general government sector particularly important in terms of size and power, particularly the power to exercise control over many other units and entities.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w:t>
            </w:r>
          </w:p>
        </w:tc>
      </w:tr>
      <w:tr w:rsidR="00104001"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104001" w:rsidRPr="004D68B6" w:rsidRDefault="00104001" w:rsidP="00104001">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D14F730" w14:textId="77777777" w:rsidR="00104001" w:rsidRDefault="00104001" w:rsidP="00104001">
            <w:pPr>
              <w:pBdr>
                <w:bottom w:val="single" w:sz="12" w:space="4" w:color="DDDDDD"/>
              </w:pBdr>
              <w:shd w:val="clear" w:color="auto" w:fill="FFFFFF"/>
              <w:outlineLvl w:val="2"/>
              <w:rPr>
                <w:rFonts w:cstheme="minorHAnsi"/>
                <w:color w:val="1C75BC"/>
                <w:sz w:val="36"/>
                <w:szCs w:val="36"/>
                <w:lang w:eastAsia="en-GB"/>
              </w:rPr>
            </w:pPr>
            <w:r>
              <w:rPr>
                <w:rFonts w:cstheme="minorHAnsi"/>
                <w:color w:val="1C75BC"/>
                <w:sz w:val="36"/>
                <w:szCs w:val="36"/>
                <w:lang w:eastAsia="en-GB"/>
              </w:rPr>
              <w:t>Methodology</w:t>
            </w:r>
          </w:p>
          <w:p w14:paraId="058B31C8" w14:textId="77777777" w:rsidR="00612417" w:rsidRDefault="00104001" w:rsidP="00104001">
            <w:pPr>
              <w:pStyle w:val="MText"/>
              <w:rPr>
                <w:rFonts w:cstheme="minorHAnsi"/>
                <w:b/>
                <w:shd w:val="clear" w:color="auto" w:fill="F9F9F9"/>
              </w:rPr>
            </w:pPr>
            <w:r>
              <w:rPr>
                <w:rFonts w:cstheme="minorHAnsi"/>
                <w:b/>
                <w:shd w:val="clear" w:color="auto" w:fill="F9F9F9"/>
              </w:rPr>
              <w:t>Method of computation:</w:t>
            </w:r>
          </w:p>
          <w:p w14:paraId="185BC934" w14:textId="60C2193B" w:rsidR="00104001" w:rsidRDefault="00104001" w:rsidP="00104001">
            <w:pPr>
              <w:pStyle w:val="MText"/>
              <w:rPr>
                <w:rFonts w:cstheme="minorHAnsi"/>
              </w:rPr>
            </w:pPr>
            <w:r>
              <w:rPr>
                <w:rFonts w:cstheme="minorHAnsi"/>
              </w:rPr>
              <w:t xml:space="preserve">Indicator 17.1.1 will be derived using series that are basic to the GFS reporting framework. GFS revenue series maintained by the IMF Statistics Department are collected in Table 1 of the standard annual data questionnaire. Each revenue transaction is classified according to whether it is a tax or another type of revenue. GFS revenue aggregates are summations of individual entries and elements in this particular class of flows and allow for these data to be arranged in a manageable and analytically useful way. For example, tax revenue is the sum of all flows that are classified as taxes. Conceptually, the value for each main revenue aggregate is the sum of the values for all items in the relevant category. The annual GFS series for monitoring Indicator 17.1.1will be derived from the data reported by the national authorities (in national </w:t>
            </w:r>
            <w:r>
              <w:rPr>
                <w:rFonts w:cstheme="minorHAnsi"/>
              </w:rPr>
              <w:lastRenderedPageBreak/>
              <w:t xml:space="preserve">currency) expressed as a percent of Gross Domestic Product (GDP), where GDP is derived from the IMF </w:t>
            </w:r>
            <w:r>
              <w:rPr>
                <w:rFonts w:cstheme="minorHAnsi"/>
                <w:i/>
              </w:rPr>
              <w:t>World Economic Outlook</w:t>
            </w:r>
            <w:r>
              <w:rPr>
                <w:rFonts w:cstheme="minorHAnsi"/>
              </w:rPr>
              <w:t xml:space="preserve"> database (no adjustments and/or weighting techniques will be applied). Mixed sources are not being used nor will the calculation change over time (i.e., there are no discontinuities in the</w:t>
            </w:r>
            <w:r>
              <w:rPr>
                <w:rFonts w:cstheme="minorHAnsi"/>
                <w:spacing w:val="-15"/>
              </w:rPr>
              <w:t xml:space="preserve"> underlying </w:t>
            </w:r>
            <w:r>
              <w:rPr>
                <w:rFonts w:cstheme="minorHAnsi"/>
              </w:rPr>
              <w:t xml:space="preserve">series as these are key aggregates/ components in all country reported GFS series). The presentation will closely align with that currently contained in World Table 4 from the hard-copy </w:t>
            </w:r>
            <w:r>
              <w:rPr>
                <w:rFonts w:cstheme="minorHAnsi"/>
                <w:i/>
              </w:rPr>
              <w:t>GFS Yearbook</w:t>
            </w:r>
            <w:r>
              <w:rPr>
                <w:rFonts w:cstheme="minorHAnsi"/>
              </w:rPr>
              <w:t xml:space="preserve">: </w:t>
            </w:r>
          </w:p>
          <w:p w14:paraId="42B96B32" w14:textId="2084956F" w:rsidR="00D34F45" w:rsidRDefault="00D34F45" w:rsidP="00104001">
            <w:pPr>
              <w:pStyle w:val="Default"/>
              <w:rPr>
                <w:rFonts w:cstheme="minorHAnsi"/>
              </w:rPr>
            </w:pPr>
          </w:p>
          <w:p w14:paraId="66B34F50" w14:textId="77777777" w:rsidR="002933AC" w:rsidRDefault="00D34F45" w:rsidP="00104001">
            <w:pPr>
              <w:pStyle w:val="Default"/>
              <w:rPr>
                <w:rFonts w:cstheme="minorHAnsi"/>
                <w:sz w:val="21"/>
                <w:szCs w:val="21"/>
              </w:rPr>
            </w:pPr>
            <w:r>
              <w:rPr>
                <w:noProof/>
              </w:rPr>
              <w:drawing>
                <wp:inline distT="0" distB="0" distL="0" distR="0" wp14:anchorId="5FD01A4F" wp14:editId="56BA2E56">
                  <wp:extent cx="3578225" cy="480060"/>
                  <wp:effectExtent l="0" t="0" r="317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480060"/>
                          </a:xfrm>
                          <a:prstGeom prst="rect">
                            <a:avLst/>
                          </a:prstGeom>
                          <a:noFill/>
                          <a:ln>
                            <a:noFill/>
                          </a:ln>
                        </pic:spPr>
                      </pic:pic>
                    </a:graphicData>
                  </a:graphic>
                </wp:inline>
              </w:drawing>
            </w:r>
            <w:r w:rsidR="00104001">
              <w:rPr>
                <w:rFonts w:cstheme="minorHAnsi"/>
              </w:rPr>
              <w:br/>
            </w:r>
            <w:bookmarkStart w:id="24" w:name="_Hlk505925560"/>
          </w:p>
          <w:p w14:paraId="14D79041" w14:textId="19658530" w:rsidR="00104001" w:rsidRPr="004073A7" w:rsidRDefault="00104001" w:rsidP="00104001">
            <w:pPr>
              <w:pStyle w:val="Default"/>
              <w:rPr>
                <w:rFonts w:asciiTheme="minorHAnsi" w:hAnsiTheme="minorHAnsi" w:cstheme="minorHAnsi"/>
                <w:sz w:val="21"/>
                <w:szCs w:val="21"/>
              </w:rPr>
            </w:pPr>
            <w:bookmarkStart w:id="25" w:name="_GoBack"/>
            <w:bookmarkEnd w:id="25"/>
            <w:r w:rsidRPr="00104001">
              <w:rPr>
                <w:rFonts w:cstheme="minorHAnsi"/>
                <w:sz w:val="21"/>
                <w:szCs w:val="21"/>
              </w:rPr>
              <w:t xml:space="preserve">Historic series have been aligned with </w:t>
            </w:r>
            <w:r w:rsidRPr="00104001">
              <w:rPr>
                <w:rFonts w:cstheme="minorHAnsi"/>
                <w:i/>
                <w:sz w:val="21"/>
                <w:szCs w:val="21"/>
              </w:rPr>
              <w:t>GFSM 2014</w:t>
            </w:r>
            <w:r w:rsidRPr="00104001">
              <w:rPr>
                <w:rFonts w:cstheme="minorHAnsi"/>
                <w:sz w:val="21"/>
                <w:szCs w:val="21"/>
              </w:rPr>
              <w:t xml:space="preserve"> classifications. This enhances the comparability of data across countries and ensures establishing robust analytical findings to support SDG monitoring using fiscal data.</w:t>
            </w:r>
            <w:bookmarkEnd w:id="24"/>
          </w:p>
        </w:tc>
      </w:tr>
      <w:tr w:rsidR="00104001"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104001" w:rsidRPr="004D68B6" w:rsidRDefault="00104001" w:rsidP="00104001">
            <w:pPr>
              <w:spacing w:after="0" w:line="240" w:lineRule="auto"/>
              <w:rPr>
                <w:rFonts w:ascii="Calibri" w:eastAsia="Times New Roman" w:hAnsi="Calibri" w:cs="Calibri"/>
                <w:color w:val="000000"/>
              </w:rPr>
            </w:pPr>
          </w:p>
        </w:tc>
      </w:tr>
      <w:tr w:rsidR="00104001"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104001" w:rsidRPr="004D68B6" w:rsidRDefault="00104001" w:rsidP="00104001">
            <w:pPr>
              <w:spacing w:after="0" w:line="240" w:lineRule="auto"/>
              <w:rPr>
                <w:rFonts w:ascii="Calibri" w:eastAsia="Times New Roman" w:hAnsi="Calibri" w:cs="Calibri"/>
                <w:color w:val="000000"/>
              </w:rPr>
            </w:pPr>
          </w:p>
        </w:tc>
      </w:tr>
      <w:tr w:rsidR="00104001"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E928A74" w14:textId="77777777" w:rsidR="00104001" w:rsidRDefault="00104001" w:rsidP="00104001">
            <w:pPr>
              <w:pStyle w:val="MSubHeader"/>
              <w:rPr>
                <w:rFonts w:cstheme="minorHAnsi"/>
              </w:rPr>
            </w:pPr>
            <w:r>
              <w:rPr>
                <w:rFonts w:cstheme="minorHAnsi"/>
              </w:rPr>
              <w:t>Treatment of missing</w:t>
            </w:r>
            <w:r>
              <w:rPr>
                <w:rFonts w:cstheme="minorHAnsi"/>
                <w:spacing w:val="-10"/>
              </w:rPr>
              <w:t xml:space="preserve"> </w:t>
            </w:r>
            <w:r>
              <w:rPr>
                <w:rFonts w:cstheme="minorHAnsi"/>
              </w:rPr>
              <w:t>values</w:t>
            </w:r>
          </w:p>
          <w:p w14:paraId="11763FCE" w14:textId="54BB8EAC" w:rsidR="00104001" w:rsidRPr="004F23B5" w:rsidRDefault="00104001" w:rsidP="00104001">
            <w:pPr>
              <w:pStyle w:val="MText"/>
              <w:rPr>
                <w:rFonts w:cstheme="minorHAnsi"/>
              </w:rPr>
            </w:pPr>
            <w:r>
              <w:rPr>
                <w:rFonts w:cstheme="minorHAnsi"/>
              </w:rPr>
              <w:t xml:space="preserve">The IMF </w:t>
            </w:r>
            <w:bookmarkStart w:id="26" w:name="_Hlk506008702"/>
            <w:r>
              <w:rPr>
                <w:rFonts w:cstheme="minorHAnsi"/>
              </w:rPr>
              <w:t xml:space="preserve">plans to rely exclusively on officially reported data provided by the national authorities using the standard GFS questionnaire based on </w:t>
            </w:r>
            <w:r>
              <w:rPr>
                <w:rFonts w:cstheme="minorHAnsi"/>
                <w:i/>
              </w:rPr>
              <w:t>GFSM 2014</w:t>
            </w:r>
            <w:r>
              <w:rPr>
                <w:rFonts w:cstheme="minorHAnsi"/>
              </w:rPr>
              <w:t xml:space="preserve"> methodology. No country data estimates for missing values will be calculated by the IMF Statistics Department. Where country data are not available due to a lack of reporting to the IMF Statistics Department, we plan to engage in outreach to the national authorities, in consultation with the respective IMF Area Departments and Offices of the Executive Director, as needed, to ensure that the key GFS series are reported.</w:t>
            </w:r>
            <w:bookmarkEnd w:id="26"/>
            <w:r>
              <w:rPr>
                <w:rFonts w:cstheme="minorHAnsi"/>
              </w:rPr>
              <w:t xml:space="preserve"> </w:t>
            </w:r>
          </w:p>
        </w:tc>
      </w:tr>
      <w:tr w:rsidR="00104001"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C43DA16" w14:textId="482937AF" w:rsidR="00104001" w:rsidRDefault="00104001" w:rsidP="00104001">
            <w:pPr>
              <w:pStyle w:val="MSubHeader"/>
              <w:rPr>
                <w:rFonts w:cstheme="minorHAnsi"/>
              </w:rPr>
            </w:pPr>
            <w:r>
              <w:rPr>
                <w:rFonts w:cstheme="minorHAnsi"/>
                <w:shd w:val="clear" w:color="auto" w:fill="F9F9F9"/>
              </w:rPr>
              <w:t>Regional and global estimates &amp; data collection for global</w:t>
            </w:r>
            <w:r>
              <w:rPr>
                <w:rFonts w:cstheme="minorHAnsi"/>
                <w:spacing w:val="-14"/>
                <w:shd w:val="clear" w:color="auto" w:fill="F9F9F9"/>
              </w:rPr>
              <w:t xml:space="preserve"> </w:t>
            </w:r>
            <w:r>
              <w:rPr>
                <w:rFonts w:cstheme="minorHAnsi"/>
                <w:shd w:val="clear" w:color="auto" w:fill="F9F9F9"/>
              </w:rPr>
              <w:t>monitoring:</w:t>
            </w:r>
          </w:p>
          <w:p w14:paraId="6E65421B" w14:textId="493317EA" w:rsidR="00104001" w:rsidRPr="00E07A4C" w:rsidRDefault="00104001" w:rsidP="00104001">
            <w:pPr>
              <w:pStyle w:val="MText"/>
              <w:rPr>
                <w:rFonts w:cstheme="minorHAnsi"/>
              </w:rPr>
            </w:pPr>
            <w:r>
              <w:rPr>
                <w:rFonts w:cstheme="minorHAnsi"/>
              </w:rPr>
              <w:t xml:space="preserve">The IMF </w:t>
            </w:r>
            <w:bookmarkStart w:id="27" w:name="_Hlk506008903"/>
            <w:r>
              <w:rPr>
                <w:rFonts w:cstheme="minorHAnsi"/>
              </w:rPr>
              <w:t>Statistics Department will leverage the existing GFS database to provide cross-country comparable series in a standardized presentation format. We would appreciate further discussion with the IAEG SDGs on the merits of deriving regional or global aggregates from the country reported values for this</w:t>
            </w:r>
            <w:r>
              <w:rPr>
                <w:rFonts w:cstheme="minorHAnsi"/>
                <w:spacing w:val="-12"/>
              </w:rPr>
              <w:t xml:space="preserve"> </w:t>
            </w:r>
            <w:r>
              <w:rPr>
                <w:rFonts w:cstheme="minorHAnsi"/>
              </w:rPr>
              <w:t>indicato</w:t>
            </w:r>
            <w:bookmarkEnd w:id="27"/>
            <w:r>
              <w:rPr>
                <w:rFonts w:cstheme="minorHAnsi"/>
              </w:rPr>
              <w:t xml:space="preserve">r. </w:t>
            </w:r>
          </w:p>
        </w:tc>
      </w:tr>
      <w:tr w:rsidR="00104001"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104001" w:rsidRPr="004D68B6" w:rsidRDefault="00104001" w:rsidP="00104001">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104001" w:rsidRPr="00F07E48" w:rsidRDefault="00104001" w:rsidP="00104001">
            <w:pPr>
              <w:pStyle w:val="Default"/>
              <w:rPr>
                <w:rFonts w:asciiTheme="minorHAnsi" w:hAnsiTheme="minorHAnsi" w:cstheme="minorHAnsi"/>
                <w:sz w:val="21"/>
                <w:szCs w:val="21"/>
              </w:rPr>
            </w:pPr>
          </w:p>
        </w:tc>
      </w:tr>
      <w:tr w:rsidR="00104001"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104001" w:rsidRPr="004D68B6" w:rsidRDefault="00104001" w:rsidP="00104001">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104001" w:rsidRPr="00C22F94" w:rsidRDefault="00104001" w:rsidP="00104001">
            <w:pPr>
              <w:pStyle w:val="Default"/>
              <w:rPr>
                <w:rFonts w:asciiTheme="minorHAnsi" w:hAnsiTheme="minorHAnsi" w:cstheme="minorHAnsi"/>
                <w:sz w:val="21"/>
                <w:szCs w:val="21"/>
              </w:rPr>
            </w:pPr>
          </w:p>
        </w:tc>
      </w:tr>
      <w:tr w:rsidR="00104001"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104001" w:rsidRPr="004D68B6" w:rsidRDefault="00104001" w:rsidP="00104001">
            <w:pPr>
              <w:spacing w:after="0" w:line="240" w:lineRule="auto"/>
              <w:rPr>
                <w:rFonts w:ascii="Calibri" w:eastAsia="Times New Roman" w:hAnsi="Calibri" w:cs="Calibri"/>
                <w:color w:val="000000"/>
              </w:rPr>
            </w:pPr>
            <w:r w:rsidRPr="00F862A7">
              <w:rPr>
                <w:rFonts w:ascii="Calibri" w:eastAsia="Times New Roman" w:hAnsi="Calibri" w:cs="Calibri"/>
              </w:rPr>
              <w:lastRenderedPageBreak/>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104001" w:rsidRPr="004D68B6" w:rsidRDefault="00104001" w:rsidP="00104001">
            <w:pPr>
              <w:spacing w:after="0" w:line="240" w:lineRule="auto"/>
              <w:rPr>
                <w:rFonts w:ascii="Calibri" w:eastAsia="Times New Roman" w:hAnsi="Calibri" w:cs="Calibri"/>
                <w:color w:val="000000"/>
              </w:rPr>
            </w:pPr>
          </w:p>
        </w:tc>
      </w:tr>
      <w:tr w:rsidR="00104001"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104001" w:rsidRPr="004D68B6" w:rsidRDefault="00104001" w:rsidP="00104001">
            <w:pPr>
              <w:spacing w:after="0" w:line="240" w:lineRule="auto"/>
              <w:rPr>
                <w:rFonts w:ascii="Calibri" w:eastAsia="Times New Roman" w:hAnsi="Calibri" w:cs="Calibri"/>
                <w:color w:val="000000"/>
              </w:rPr>
            </w:pPr>
            <w:r w:rsidRPr="00F862A7">
              <w:rPr>
                <w:rFonts w:ascii="Calibri" w:eastAsia="Times New Roman" w:hAnsi="Calibri" w:cs="Calibri"/>
              </w:rPr>
              <w:t>4.</w:t>
            </w:r>
            <w:proofErr w:type="gramStart"/>
            <w:r w:rsidRPr="00F862A7">
              <w:rPr>
                <w:rFonts w:ascii="Calibri" w:eastAsia="Times New Roman" w:hAnsi="Calibri" w:cs="Calibri"/>
              </w:rPr>
              <w:t>i.ii.</w:t>
            </w:r>
            <w:proofErr w:type="gramEnd"/>
            <w:r w:rsidRPr="00F862A7">
              <w:rPr>
                <w:rFonts w:ascii="Calibri" w:eastAsia="Times New Roman" w:hAnsi="Calibri" w:cs="Calibri"/>
              </w:rPr>
              <w:t xml:space="preserve">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104001" w:rsidRPr="004D68B6" w:rsidRDefault="00104001" w:rsidP="00104001">
            <w:pPr>
              <w:spacing w:after="0" w:line="240" w:lineRule="auto"/>
              <w:rPr>
                <w:rFonts w:ascii="Calibri" w:eastAsia="Times New Roman" w:hAnsi="Calibri" w:cs="Calibri"/>
                <w:color w:val="000000"/>
              </w:rPr>
            </w:pPr>
          </w:p>
        </w:tc>
      </w:tr>
      <w:tr w:rsidR="00104001"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104001" w:rsidRPr="004D68B6" w:rsidRDefault="00104001" w:rsidP="00104001">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104001" w:rsidRPr="004D68B6" w:rsidRDefault="00104001" w:rsidP="00104001">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8" w:name="_Toc36655613"/>
            <w:bookmarkStart w:id="29" w:name="_Toc36812576"/>
            <w:bookmarkStart w:id="30" w:name="_Toc36812689"/>
            <w:bookmarkStart w:id="31" w:name="_Toc36813076"/>
            <w:r w:rsidRPr="001A0E35">
              <w:t>5</w:t>
            </w:r>
            <w:r w:rsidR="00952376" w:rsidRPr="001A0E35">
              <w:t>. Data availability and disaggregation</w:t>
            </w:r>
            <w:bookmarkEnd w:id="28"/>
            <w:bookmarkEnd w:id="29"/>
            <w:bookmarkEnd w:id="30"/>
            <w:bookmarkEnd w:id="31"/>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166243F" w14:textId="77777777" w:rsidR="00CC6008" w:rsidRDefault="00CC6008" w:rsidP="00CC6008">
            <w:pPr>
              <w:pBdr>
                <w:bottom w:val="single" w:sz="12" w:space="4" w:color="DDDDDD"/>
              </w:pBdr>
              <w:shd w:val="clear" w:color="auto" w:fill="FFFFFF"/>
              <w:outlineLvl w:val="2"/>
              <w:rPr>
                <w:rFonts w:cstheme="minorHAnsi"/>
                <w:color w:val="1C75BC"/>
                <w:sz w:val="36"/>
                <w:szCs w:val="36"/>
                <w:lang w:eastAsia="en-GB"/>
              </w:rPr>
            </w:pPr>
            <w:r>
              <w:rPr>
                <w:rFonts w:cstheme="minorHAnsi"/>
                <w:color w:val="1C75BC"/>
                <w:sz w:val="36"/>
                <w:szCs w:val="36"/>
                <w:lang w:eastAsia="en-GB"/>
              </w:rPr>
              <w:t>Data Availability</w:t>
            </w:r>
          </w:p>
          <w:p w14:paraId="06896253" w14:textId="77777777" w:rsidR="00CC6008" w:rsidRDefault="00CC6008" w:rsidP="00CC6008">
            <w:pPr>
              <w:pStyle w:val="MSubHeader"/>
              <w:rPr>
                <w:rFonts w:cstheme="minorHAnsi"/>
              </w:rPr>
            </w:pPr>
            <w:r>
              <w:rPr>
                <w:rFonts w:cstheme="minorHAnsi"/>
                <w:shd w:val="clear" w:color="auto" w:fill="F9F9F9"/>
              </w:rPr>
              <w:t>Current data availability / indicator</w:t>
            </w:r>
            <w:r>
              <w:rPr>
                <w:rFonts w:cstheme="minorHAnsi"/>
                <w:spacing w:val="-11"/>
                <w:shd w:val="clear" w:color="auto" w:fill="F9F9F9"/>
              </w:rPr>
              <w:t xml:space="preserve"> </w:t>
            </w:r>
            <w:r>
              <w:rPr>
                <w:rFonts w:cstheme="minorHAnsi"/>
                <w:shd w:val="clear" w:color="auto" w:fill="F9F9F9"/>
              </w:rPr>
              <w:t>tier</w:t>
            </w:r>
          </w:p>
          <w:p w14:paraId="426108A0" w14:textId="6EBA6FD2" w:rsidR="00CC6008" w:rsidRPr="00CC6008" w:rsidRDefault="00CC6008" w:rsidP="00CC6008">
            <w:pPr>
              <w:pStyle w:val="MText"/>
              <w:rPr>
                <w:rFonts w:cstheme="minorHAnsi"/>
              </w:rPr>
            </w:pPr>
            <w:r>
              <w:rPr>
                <w:rFonts w:cstheme="minorHAnsi"/>
              </w:rPr>
              <w:t>Classification of the indicator into one of the three</w:t>
            </w:r>
            <w:r>
              <w:rPr>
                <w:rFonts w:cstheme="minorHAnsi"/>
                <w:spacing w:val="-26"/>
              </w:rPr>
              <w:t xml:space="preserve"> </w:t>
            </w:r>
            <w:r>
              <w:rPr>
                <w:rFonts w:cstheme="minorHAnsi"/>
              </w:rPr>
              <w:t>tiers: We recommend that 17.1.1 (like 17.1.2) remain classified as Tier 1: The indicator is conceptually clear and internationally agreed standards for compiling components and aggregates are available. The underlying data are regularly produced by countries, and there is current data</w:t>
            </w:r>
            <w:r>
              <w:rPr>
                <w:rFonts w:cstheme="minorHAnsi"/>
                <w:spacing w:val="-17"/>
              </w:rPr>
              <w:t xml:space="preserve"> </w:t>
            </w:r>
            <w:r>
              <w:rPr>
                <w:rFonts w:cstheme="minorHAnsi"/>
              </w:rPr>
              <w:t xml:space="preserve">available. From the IAEG-SDGs Tier Classification description at </w:t>
            </w:r>
            <w:hyperlink r:id="rId11" w:history="1">
              <w:r>
                <w:rPr>
                  <w:rStyle w:val="Hyperlink"/>
                  <w:rFonts w:eastAsiaTheme="majorEastAsia" w:cstheme="minorHAnsi"/>
                </w:rPr>
                <w:t>https://unstats.un.org/sdgs/iaeg-sdgs/tier-classification/</w:t>
              </w:r>
            </w:hyperlink>
            <w:r>
              <w:rPr>
                <w:rFonts w:cstheme="minorHAnsi"/>
              </w:rPr>
              <w:t xml:space="preserve">, a key criteria is that “data are regularly produced by countries for at least 50 per cent of countries”. The IMF GFS database, with 120+ regular annual reporting countries using the same reporting format meets </w:t>
            </w:r>
            <w:proofErr w:type="gramStart"/>
            <w:r>
              <w:rPr>
                <w:rFonts w:cstheme="minorHAnsi"/>
              </w:rPr>
              <w:t>this key criteria</w:t>
            </w:r>
            <w:proofErr w:type="gramEnd"/>
            <w:r>
              <w:rPr>
                <w:rFonts w:cstheme="minorHAnsi"/>
              </w:rPr>
              <w:t>. Apart from conflict countries, all IMF member countries produce revenue (and expenditure) data for surveillance purposes. In the 2017 round of soliciting annual GFS series from countries, we have specifically encouraged those countries that were non-reporters over the past few years to (at a minimum) provide the key revenue and expenditure series needed to monitor 17.1.</w:t>
            </w:r>
          </w:p>
          <w:p w14:paraId="27CDC679" w14:textId="77777777" w:rsidR="00CC6008" w:rsidRDefault="00CC6008" w:rsidP="005A1C99">
            <w:pPr>
              <w:pStyle w:val="MSubHeader"/>
              <w:rPr>
                <w:rFonts w:cstheme="minorHAnsi"/>
                <w:shd w:val="clear" w:color="auto" w:fill="F9F9F9"/>
              </w:rPr>
            </w:pPr>
          </w:p>
          <w:p w14:paraId="03247566" w14:textId="1F94BAC4" w:rsidR="005A1C99" w:rsidRDefault="005A1C99" w:rsidP="005A1C99">
            <w:pPr>
              <w:pStyle w:val="MSubHeader"/>
              <w:rPr>
                <w:rFonts w:cstheme="minorHAnsi"/>
              </w:rPr>
            </w:pPr>
            <w:r>
              <w:rPr>
                <w:rFonts w:cstheme="minorHAnsi"/>
                <w:shd w:val="clear" w:color="auto" w:fill="F9F9F9"/>
              </w:rPr>
              <w:t>Disaggregation</w:t>
            </w:r>
            <w:r w:rsidR="00612417">
              <w:rPr>
                <w:rFonts w:cstheme="minorHAnsi"/>
                <w:shd w:val="clear" w:color="auto" w:fill="F9F9F9"/>
              </w:rPr>
              <w:t>:</w:t>
            </w:r>
          </w:p>
          <w:p w14:paraId="4A556954" w14:textId="77777777" w:rsidR="005A1C99" w:rsidRDefault="005A1C99" w:rsidP="005A1C99">
            <w:pPr>
              <w:pStyle w:val="MText"/>
              <w:rPr>
                <w:rFonts w:cstheme="minorHAnsi"/>
              </w:rPr>
            </w:pPr>
            <w:r>
              <w:rPr>
                <w:rFonts w:cstheme="minorHAnsi"/>
              </w:rPr>
              <w:t>The detailed GFS revenue classification structure in the annual questionnaire that is used by countries to report data allows for compiling 17.1.1. The four types of revenue: Taxes, Social contributions, Grants and Other revenue are further disaggregated in the annual GFS questionnaire in order to encompass all possible forms of revenue administrations. Taxes are disaggregated as follows:</w:t>
            </w:r>
            <w:r>
              <w:rPr>
                <w:rFonts w:cstheme="minorHAnsi"/>
              </w:rPr>
              <w:br/>
            </w:r>
          </w:p>
          <w:p w14:paraId="49B695CE" w14:textId="599FEC96" w:rsidR="005A1C99" w:rsidRDefault="005A1C99" w:rsidP="005A1C99">
            <w:pPr>
              <w:pStyle w:val="MText"/>
              <w:rPr>
                <w:rFonts w:cstheme="minorHAnsi"/>
              </w:rPr>
            </w:pPr>
            <w:r>
              <w:rPr>
                <w:rFonts w:cstheme="minorHAnsi"/>
                <w:noProof/>
              </w:rPr>
              <w:lastRenderedPageBreak/>
              <w:drawing>
                <wp:inline distT="0" distB="0" distL="0" distR="0" wp14:anchorId="49D2DD66" wp14:editId="733F2CA0">
                  <wp:extent cx="3689985" cy="37014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985" cy="3701415"/>
                          </a:xfrm>
                          <a:prstGeom prst="rect">
                            <a:avLst/>
                          </a:prstGeom>
                          <a:noFill/>
                          <a:ln>
                            <a:noFill/>
                          </a:ln>
                        </pic:spPr>
                      </pic:pic>
                    </a:graphicData>
                  </a:graphic>
                </wp:inline>
              </w:drawing>
            </w:r>
          </w:p>
          <w:p w14:paraId="606721A7" w14:textId="55CB88DA" w:rsidR="00202B2D" w:rsidRPr="005D1328" w:rsidRDefault="005A1C99" w:rsidP="005A1C99">
            <w:pPr>
              <w:pStyle w:val="Default"/>
              <w:rPr>
                <w:rFonts w:asciiTheme="minorHAnsi" w:hAnsiTheme="minorHAnsi" w:cstheme="minorHAnsi"/>
                <w:sz w:val="21"/>
                <w:szCs w:val="21"/>
              </w:rPr>
            </w:pPr>
            <w:r>
              <w:rPr>
                <w:rFonts w:cstheme="minorHAnsi"/>
              </w:rPr>
              <w:br/>
            </w:r>
            <w:r w:rsidRPr="00612417">
              <w:rPr>
                <w:rFonts w:cstheme="minorHAnsi"/>
                <w:sz w:val="21"/>
                <w:szCs w:val="21"/>
              </w:rPr>
              <w:t>Social contributions differentiate between social security and other social contributions, as follows:</w:t>
            </w:r>
            <w:r>
              <w:rPr>
                <w:rFonts w:cstheme="minorHAnsi"/>
              </w:rPr>
              <w:br/>
            </w:r>
            <w:r>
              <w:rPr>
                <w:rFonts w:cstheme="minorHAnsi"/>
                <w:noProof/>
              </w:rPr>
              <w:drawing>
                <wp:inline distT="0" distB="0" distL="0" distR="0" wp14:anchorId="39847A0E" wp14:editId="74755F07">
                  <wp:extent cx="3689985" cy="10947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9985" cy="1094740"/>
                          </a:xfrm>
                          <a:prstGeom prst="rect">
                            <a:avLst/>
                          </a:prstGeom>
                          <a:noFill/>
                          <a:ln>
                            <a:noFill/>
                          </a:ln>
                        </pic:spPr>
                      </pic:pic>
                    </a:graphicData>
                  </a:graphic>
                </wp:inline>
              </w:drawing>
            </w:r>
            <w:r>
              <w:rPr>
                <w:rFonts w:cstheme="minorHAnsi"/>
              </w:rPr>
              <w:br/>
            </w:r>
            <w:r>
              <w:rPr>
                <w:rFonts w:cstheme="minorHAnsi"/>
              </w:rPr>
              <w:br/>
            </w:r>
            <w:r w:rsidRPr="00612417">
              <w:rPr>
                <w:rFonts w:cstheme="minorHAnsi"/>
                <w:sz w:val="21"/>
                <w:szCs w:val="21"/>
              </w:rPr>
              <w:t>Grants can be disaggregated by source as follows:</w:t>
            </w:r>
            <w:r>
              <w:rPr>
                <w:rFonts w:cstheme="minorHAnsi"/>
              </w:rPr>
              <w:br/>
            </w:r>
            <w:r>
              <w:rPr>
                <w:rFonts w:cstheme="minorHAnsi"/>
                <w:noProof/>
              </w:rPr>
              <w:drawing>
                <wp:inline distT="0" distB="0" distL="0" distR="0" wp14:anchorId="2A4B496C" wp14:editId="6D7759D7">
                  <wp:extent cx="3689985" cy="10947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985" cy="1094740"/>
                          </a:xfrm>
                          <a:prstGeom prst="rect">
                            <a:avLst/>
                          </a:prstGeom>
                          <a:noFill/>
                          <a:ln>
                            <a:noFill/>
                          </a:ln>
                        </pic:spPr>
                      </pic:pic>
                    </a:graphicData>
                  </a:graphic>
                </wp:inline>
              </w:drawing>
            </w:r>
            <w:r>
              <w:rPr>
                <w:rFonts w:cstheme="minorHAnsi"/>
              </w:rPr>
              <w:br/>
            </w:r>
            <w:r>
              <w:rPr>
                <w:rFonts w:cstheme="minorHAnsi"/>
              </w:rPr>
              <w:br/>
            </w:r>
            <w:r w:rsidRPr="00612417">
              <w:rPr>
                <w:rFonts w:cstheme="minorHAnsi"/>
                <w:sz w:val="21"/>
                <w:szCs w:val="21"/>
              </w:rPr>
              <w:t>And Other revenue is disaggregated into five main types, with additional component detail as follows:</w:t>
            </w:r>
            <w:r>
              <w:rPr>
                <w:rFonts w:cstheme="minorHAnsi"/>
              </w:rPr>
              <w:br/>
            </w:r>
            <w:r>
              <w:rPr>
                <w:rFonts w:cstheme="minorHAnsi"/>
                <w:noProof/>
              </w:rPr>
              <w:lastRenderedPageBreak/>
              <w:drawing>
                <wp:inline distT="0" distB="0" distL="0" distR="0" wp14:anchorId="254C8203" wp14:editId="478067C7">
                  <wp:extent cx="3689985" cy="3166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985" cy="3166110"/>
                          </a:xfrm>
                          <a:prstGeom prst="rect">
                            <a:avLst/>
                          </a:prstGeom>
                          <a:noFill/>
                          <a:ln>
                            <a:noFill/>
                          </a:ln>
                        </pic:spPr>
                      </pic:pic>
                    </a:graphicData>
                  </a:graphic>
                </wp:inline>
              </w:drawing>
            </w:r>
            <w:r>
              <w:rPr>
                <w:rFonts w:cstheme="minorHAnsi"/>
              </w:rPr>
              <w:br/>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2" w:name="_Toc36655614"/>
            <w:bookmarkStart w:id="33" w:name="_Toc36812577"/>
            <w:bookmarkStart w:id="34" w:name="_Toc36812690"/>
            <w:bookmarkStart w:id="35" w:name="_Toc36813077"/>
            <w:bookmarkStart w:id="36"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2"/>
            <w:bookmarkEnd w:id="33"/>
            <w:bookmarkEnd w:id="34"/>
            <w:bookmarkEnd w:id="35"/>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09931977" w14:textId="5FE97261" w:rsidR="00D54FB9" w:rsidRDefault="00D54FB9" w:rsidP="00D54FB9">
            <w:pPr>
              <w:pStyle w:val="MSubHeader"/>
              <w:rPr>
                <w:rFonts w:cstheme="minorHAnsi"/>
              </w:rPr>
            </w:pPr>
            <w:r>
              <w:rPr>
                <w:rFonts w:cstheme="minorHAnsi"/>
                <w:shd w:val="clear" w:color="auto" w:fill="F9F9F9"/>
              </w:rPr>
              <w:t>Sources of differences between global and national</w:t>
            </w:r>
            <w:r>
              <w:rPr>
                <w:rFonts w:cstheme="minorHAnsi"/>
                <w:spacing w:val="-14"/>
                <w:shd w:val="clear" w:color="auto" w:fill="F9F9F9"/>
              </w:rPr>
              <w:t xml:space="preserve"> </w:t>
            </w:r>
            <w:r>
              <w:rPr>
                <w:rFonts w:cstheme="minorHAnsi"/>
                <w:shd w:val="clear" w:color="auto" w:fill="F9F9F9"/>
              </w:rPr>
              <w:t>figures:</w:t>
            </w:r>
          </w:p>
          <w:p w14:paraId="13CF0B2D" w14:textId="0DA7157A" w:rsidR="004F4616" w:rsidRPr="00E07A4C" w:rsidRDefault="00D54FB9" w:rsidP="00D54FB9">
            <w:pPr>
              <w:pStyle w:val="MText"/>
              <w:rPr>
                <w:rFonts w:cstheme="minorHAnsi"/>
              </w:rPr>
            </w:pPr>
            <w:r>
              <w:rPr>
                <w:rFonts w:cstheme="minorHAnsi"/>
              </w:rPr>
              <w:t>Where t</w:t>
            </w:r>
            <w:bookmarkStart w:id="37" w:name="_Hlk506008835"/>
            <w:r>
              <w:rPr>
                <w:rFonts w:cstheme="minorHAnsi"/>
              </w:rPr>
              <w:t>he relevant aggregates and component detail in series disseminated by the national authorities are found to differ from GFS due to unreported revisions, the IMF Statistics Department will solicit revised time series in GFS format from the national authorities.</w:t>
            </w:r>
            <w:bookmarkEnd w:id="37"/>
          </w:p>
        </w:tc>
      </w:tr>
      <w:bookmarkEnd w:id="36"/>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8" w:name="_Toc36655615"/>
            <w:bookmarkStart w:id="39" w:name="_Toc36812578"/>
            <w:bookmarkStart w:id="40" w:name="_Toc36812691"/>
            <w:bookmarkStart w:id="41" w:name="_Toc36813078"/>
            <w:r w:rsidRPr="001A0E35">
              <w:t>7. References and documentation</w:t>
            </w:r>
            <w:bookmarkEnd w:id="38"/>
            <w:bookmarkEnd w:id="39"/>
            <w:bookmarkEnd w:id="40"/>
            <w:bookmarkEnd w:id="41"/>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004AC3F2" w14:textId="77777777" w:rsidR="006D6F88" w:rsidRDefault="006D6F88" w:rsidP="006D6F88">
            <w:pPr>
              <w:pBdr>
                <w:bottom w:val="single" w:sz="12" w:space="4" w:color="DDDDDD"/>
              </w:pBdr>
              <w:shd w:val="clear" w:color="auto" w:fill="FFFFFF"/>
              <w:outlineLvl w:val="2"/>
              <w:rPr>
                <w:rFonts w:cstheme="minorHAnsi"/>
                <w:color w:val="1C75BC"/>
                <w:sz w:val="36"/>
                <w:szCs w:val="36"/>
                <w:lang w:eastAsia="en-GB"/>
              </w:rPr>
            </w:pPr>
            <w:r>
              <w:rPr>
                <w:rFonts w:cstheme="minorHAnsi"/>
                <w:color w:val="1C75BC"/>
                <w:sz w:val="36"/>
                <w:szCs w:val="36"/>
                <w:lang w:eastAsia="en-GB"/>
              </w:rPr>
              <w:t>References</w:t>
            </w:r>
          </w:p>
          <w:p w14:paraId="75668AC2" w14:textId="4A9D708D" w:rsidR="007B2E39" w:rsidRPr="006D6F88" w:rsidRDefault="006D6F88" w:rsidP="006D6F88">
            <w:pPr>
              <w:pStyle w:val="MText"/>
              <w:rPr>
                <w:rFonts w:cstheme="minorHAnsi"/>
              </w:rPr>
            </w:pPr>
            <w:r>
              <w:rPr>
                <w:rFonts w:cstheme="minorHAnsi"/>
                <w:shd w:val="clear" w:color="auto" w:fill="F9F9F9"/>
              </w:rPr>
              <w:br/>
              <w:t xml:space="preserve">The </w:t>
            </w:r>
            <w:r>
              <w:rPr>
                <w:rFonts w:cstheme="minorHAnsi"/>
                <w:i/>
                <w:shd w:val="clear" w:color="auto" w:fill="F9F9F9"/>
              </w:rPr>
              <w:t>GFSM 2014</w:t>
            </w:r>
            <w:r>
              <w:rPr>
                <w:rFonts w:cstheme="minorHAnsi"/>
                <w:shd w:val="clear" w:color="auto" w:fill="F9F9F9"/>
              </w:rPr>
              <w:t xml:space="preserve"> is available at </w:t>
            </w:r>
            <w:hyperlink r:id="rId16" w:history="1">
              <w:r>
                <w:rPr>
                  <w:rStyle w:val="Hyperlink"/>
                  <w:rFonts w:eastAsiaTheme="majorEastAsia" w:cstheme="minorHAnsi"/>
                  <w:shd w:val="clear" w:color="auto" w:fill="F9F9F9"/>
                </w:rPr>
                <w:t>http://www.imf.org/external/np/sta/gfsm/</w:t>
              </w:r>
            </w:hyperlink>
            <w:r>
              <w:rPr>
                <w:rFonts w:cstheme="minorHAnsi"/>
                <w:shd w:val="clear" w:color="auto" w:fill="F9F9F9"/>
              </w:rPr>
              <w:t xml:space="preserve">. A series of videos that discuss the GFS analytical framework are </w:t>
            </w:r>
            <w:r>
              <w:rPr>
                <w:rFonts w:cstheme="minorHAnsi"/>
              </w:rPr>
              <w:t xml:space="preserve">available at: </w:t>
            </w:r>
            <w:hyperlink r:id="rId17" w:history="1">
              <w:r>
                <w:rPr>
                  <w:rStyle w:val="Hyperlink"/>
                  <w:rFonts w:eastAsiaTheme="majorEastAsia" w:cstheme="minorHAnsi"/>
                </w:rPr>
                <w:t>IMF Statistics E-Learning Videos - YouTube</w:t>
              </w:r>
            </w:hyperlink>
            <w:r>
              <w:rPr>
                <w:rFonts w:cstheme="minorHAnsi"/>
              </w:rPr>
              <w:t xml:space="preserve">. </w:t>
            </w:r>
            <w:r>
              <w:rPr>
                <w:rFonts w:cstheme="minorHAnsi"/>
                <w:shd w:val="clear" w:color="auto" w:fill="F9F9F9"/>
              </w:rPr>
              <w:t xml:space="preserve">Although not foreseen under the reporting of 17.1.1, analysts can also use the detailed IMF GFS Revenue database to supplement this indicator with </w:t>
            </w:r>
            <w:r>
              <w:rPr>
                <w:rFonts w:cstheme="minorHAnsi"/>
                <w:shd w:val="clear" w:color="auto" w:fill="F9F9F9"/>
              </w:rPr>
              <w:lastRenderedPageBreak/>
              <w:t xml:space="preserve">measures of direct, indirect and capital taxes (see </w:t>
            </w:r>
            <w:r>
              <w:rPr>
                <w:rFonts w:cstheme="minorHAnsi"/>
                <w:i/>
                <w:shd w:val="clear" w:color="auto" w:fill="F9F9F9"/>
              </w:rPr>
              <w:t>GFSM 2014</w:t>
            </w:r>
            <w:r>
              <w:rPr>
                <w:rFonts w:cstheme="minorHAnsi"/>
                <w:shd w:val="clear" w:color="auto" w:fill="F9F9F9"/>
              </w:rPr>
              <w:t>, Annex to Chapter 4).</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7"/>
  </w:num>
  <w:num w:numId="6">
    <w:abstractNumId w:val="5"/>
  </w:num>
  <w:num w:numId="7">
    <w:abstractNumId w:val="15"/>
  </w:num>
  <w:num w:numId="8">
    <w:abstractNumId w:val="0"/>
  </w:num>
  <w:num w:numId="9">
    <w:abstractNumId w:val="14"/>
  </w:num>
  <w:num w:numId="10">
    <w:abstractNumId w:val="13"/>
  </w:num>
  <w:num w:numId="11">
    <w:abstractNumId w:val="18"/>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557BF"/>
    <w:rsid w:val="000639BB"/>
    <w:rsid w:val="00073907"/>
    <w:rsid w:val="00077DCF"/>
    <w:rsid w:val="00091352"/>
    <w:rsid w:val="000A24C4"/>
    <w:rsid w:val="000B2C16"/>
    <w:rsid w:val="000B6681"/>
    <w:rsid w:val="000C6D3A"/>
    <w:rsid w:val="000E1AA3"/>
    <w:rsid w:val="001034ED"/>
    <w:rsid w:val="00104001"/>
    <w:rsid w:val="001127E6"/>
    <w:rsid w:val="0012075C"/>
    <w:rsid w:val="0013388C"/>
    <w:rsid w:val="0013577B"/>
    <w:rsid w:val="00145719"/>
    <w:rsid w:val="0014660A"/>
    <w:rsid w:val="00151B76"/>
    <w:rsid w:val="00155BC5"/>
    <w:rsid w:val="001646CE"/>
    <w:rsid w:val="0018734D"/>
    <w:rsid w:val="001A0E35"/>
    <w:rsid w:val="001C1BC2"/>
    <w:rsid w:val="001C3E19"/>
    <w:rsid w:val="001F0C55"/>
    <w:rsid w:val="001F31C6"/>
    <w:rsid w:val="00202B2D"/>
    <w:rsid w:val="00211876"/>
    <w:rsid w:val="00226099"/>
    <w:rsid w:val="002313D6"/>
    <w:rsid w:val="00240AFC"/>
    <w:rsid w:val="00250A24"/>
    <w:rsid w:val="002525CC"/>
    <w:rsid w:val="00257D67"/>
    <w:rsid w:val="00265084"/>
    <w:rsid w:val="0027379A"/>
    <w:rsid w:val="002933AC"/>
    <w:rsid w:val="0029558C"/>
    <w:rsid w:val="002960FA"/>
    <w:rsid w:val="002A631A"/>
    <w:rsid w:val="002A6E7E"/>
    <w:rsid w:val="002C550A"/>
    <w:rsid w:val="002E449E"/>
    <w:rsid w:val="002E4E48"/>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1987"/>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A1C99"/>
    <w:rsid w:val="005B657A"/>
    <w:rsid w:val="005C091C"/>
    <w:rsid w:val="005C76A1"/>
    <w:rsid w:val="005D1328"/>
    <w:rsid w:val="005F7B42"/>
    <w:rsid w:val="00605AD5"/>
    <w:rsid w:val="00611159"/>
    <w:rsid w:val="00612417"/>
    <w:rsid w:val="00613352"/>
    <w:rsid w:val="006220A3"/>
    <w:rsid w:val="00633477"/>
    <w:rsid w:val="00643134"/>
    <w:rsid w:val="006609F0"/>
    <w:rsid w:val="0068000F"/>
    <w:rsid w:val="0068379D"/>
    <w:rsid w:val="00693674"/>
    <w:rsid w:val="006B0512"/>
    <w:rsid w:val="006B6E3B"/>
    <w:rsid w:val="006C6768"/>
    <w:rsid w:val="006D23F0"/>
    <w:rsid w:val="006D6F88"/>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6F04"/>
    <w:rsid w:val="00854588"/>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A7AF3"/>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C6008"/>
    <w:rsid w:val="00CF504E"/>
    <w:rsid w:val="00D11228"/>
    <w:rsid w:val="00D12D35"/>
    <w:rsid w:val="00D17114"/>
    <w:rsid w:val="00D34F45"/>
    <w:rsid w:val="00D54FB9"/>
    <w:rsid w:val="00D563BD"/>
    <w:rsid w:val="00D6262B"/>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77FE"/>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10307044">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18390905">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94758893">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27918975">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56253688">
      <w:bodyDiv w:val="1"/>
      <w:marLeft w:val="0"/>
      <w:marRight w:val="0"/>
      <w:marTop w:val="0"/>
      <w:marBottom w:val="0"/>
      <w:divBdr>
        <w:top w:val="none" w:sz="0" w:space="0" w:color="auto"/>
        <w:left w:val="none" w:sz="0" w:space="0" w:color="auto"/>
        <w:bottom w:val="none" w:sz="0" w:space="0" w:color="auto"/>
        <w:right w:val="none" w:sz="0" w:space="0" w:color="auto"/>
      </w:divBdr>
    </w:div>
    <w:div w:id="957950050">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87636280">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45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199514151">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6476594">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0065429">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3330310">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97933975">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25014933">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3752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AGODATA@imf.org"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youtube.com/playlist?list=PLmYAE4wV1YQzimXjDWMQ-4GwConTsP7-a" TargetMode="External"/><Relationship Id="rId2" Type="http://schemas.openxmlformats.org/officeDocument/2006/relationships/numbering" Target="numbering.xml"/><Relationship Id="rId16" Type="http://schemas.openxmlformats.org/officeDocument/2006/relationships/hyperlink" Target="http://www.imf.org/external/np/sta/gfs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sdgs/iaeg-sdgs/tier-classification/"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371CE-AFE8-4E80-BC82-B0A42F2B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2020-04-10T17:02:00Z</cp:lastPrinted>
  <dcterms:created xsi:type="dcterms:W3CDTF">2020-04-14T15:52:00Z</dcterms:created>
  <dcterms:modified xsi:type="dcterms:W3CDTF">2020-04-14T17:30:00Z</dcterms:modified>
</cp:coreProperties>
</file>