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68C9FAFB" w:rsidR="006D23F0" w:rsidRPr="006D23F0" w:rsidRDefault="006D23F0" w:rsidP="006D23F0">
      <w:r>
        <w:t>1</w:t>
      </w:r>
      <w:r w:rsidR="004204B0">
        <w:t>4</w:t>
      </w:r>
      <w:bookmarkStart w:id="0" w:name="_GoBack"/>
      <w:bookmarkEnd w:id="0"/>
      <w:r>
        <w:t xml:space="preserve"> April 2020</w:t>
      </w:r>
    </w:p>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1" w:name="_Toc36655608"/>
            <w:bookmarkStart w:id="2" w:name="_Toc36812571"/>
            <w:bookmarkStart w:id="3" w:name="_Toc36812684"/>
            <w:bookmarkStart w:id="4" w:name="_Toc36813071"/>
            <w:r w:rsidRPr="000149A9">
              <w:t>0. Indicator information</w:t>
            </w:r>
            <w:bookmarkEnd w:id="1"/>
            <w:bookmarkEnd w:id="2"/>
            <w:bookmarkEnd w:id="3"/>
            <w:bookmarkEnd w:id="4"/>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689B0993"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06D8EA95" w14:textId="77777777" w:rsidR="00ED6495" w:rsidRDefault="00ED6495" w:rsidP="00ED6495">
            <w:pPr>
              <w:shd w:val="clear" w:color="auto" w:fill="F5F5F5"/>
              <w:spacing w:after="0"/>
              <w:contextualSpacing/>
              <w:outlineLvl w:val="4"/>
              <w:rPr>
                <w:rFonts w:eastAsia="Times New Roman" w:cs="Times New Roman"/>
                <w:color w:val="333333"/>
                <w:sz w:val="21"/>
                <w:szCs w:val="21"/>
                <w:lang w:eastAsia="en-GB"/>
              </w:rPr>
            </w:pPr>
            <w:r>
              <w:rPr>
                <w:rFonts w:eastAsia="Times New Roman" w:cs="Times New Roman"/>
                <w:color w:val="333333"/>
                <w:sz w:val="21"/>
                <w:szCs w:val="21"/>
                <w:lang w:eastAsia="en-GB"/>
              </w:rPr>
              <w:t>Goal 5: Achieve gender equality and empower all women and girls</w:t>
            </w:r>
          </w:p>
          <w:p w14:paraId="7D344AB1" w14:textId="1B591A8F" w:rsidR="00A36E8B" w:rsidRPr="003700A1" w:rsidRDefault="00A36E8B" w:rsidP="00845688">
            <w:pPr>
              <w:shd w:val="clear" w:color="auto" w:fill="F5F5F5"/>
              <w:spacing w:after="0"/>
              <w:contextualSpacing/>
              <w:outlineLvl w:val="4"/>
              <w:rPr>
                <w:rFonts w:cstheme="minorHAnsi"/>
                <w:color w:val="333333"/>
                <w:sz w:val="21"/>
                <w:szCs w:val="21"/>
              </w:rPr>
            </w:pP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5D52CD07" w:rsidR="00A36E8B" w:rsidRPr="00845688" w:rsidRDefault="00845688" w:rsidP="00845688">
            <w:pPr>
              <w:shd w:val="clear" w:color="auto" w:fill="F5F5F5"/>
              <w:spacing w:after="0"/>
              <w:contextualSpacing/>
              <w:outlineLvl w:val="4"/>
              <w:rPr>
                <w:rFonts w:eastAsia="Times New Roman" w:cs="Times New Roman"/>
                <w:color w:val="333333"/>
                <w:sz w:val="21"/>
                <w:szCs w:val="21"/>
                <w:lang w:eastAsia="en-GB"/>
              </w:rPr>
            </w:pPr>
            <w:r>
              <w:rPr>
                <w:rFonts w:eastAsia="Times New Roman" w:cs="Times New Roman"/>
                <w:color w:val="333333"/>
                <w:sz w:val="21"/>
                <w:szCs w:val="21"/>
                <w:lang w:eastAsia="en-GB"/>
              </w:rPr>
              <w:t>Target 5.3: Eliminate all harmful practices, such as child, early and forced marriage and female genital mutilation</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1C487654" w:rsidR="00A36E8B" w:rsidRPr="00845688" w:rsidRDefault="00845688" w:rsidP="00845688">
            <w:pPr>
              <w:shd w:val="clear" w:color="auto" w:fill="F5F5F5"/>
              <w:spacing w:after="0"/>
              <w:contextualSpacing/>
              <w:outlineLvl w:val="1"/>
              <w:rPr>
                <w:rFonts w:eastAsia="Times New Roman" w:cs="Times New Roman"/>
                <w:color w:val="1C75BC"/>
                <w:lang w:eastAsia="en-GB"/>
              </w:rPr>
            </w:pPr>
            <w:bookmarkStart w:id="5" w:name="_Toc455213200"/>
            <w:r>
              <w:rPr>
                <w:rFonts w:eastAsia="Times New Roman" w:cs="Times New Roman"/>
                <w:color w:val="1C75BC"/>
                <w:lang w:eastAsia="en-GB"/>
              </w:rPr>
              <w:t>Indicator 5.3.1: Proportion of women aged 20-24 years who were married or in a union before age 15 and before age 18</w:t>
            </w:r>
            <w:bookmarkEnd w:id="5"/>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1FCCC233" w:rsidR="00A36E8B" w:rsidRPr="00896223" w:rsidRDefault="00896223" w:rsidP="00896223">
            <w:pPr>
              <w:pStyle w:val="Header"/>
              <w:rPr>
                <w:color w:val="595959" w:themeColor="text1" w:themeTint="A6"/>
                <w:sz w:val="18"/>
                <w:szCs w:val="18"/>
              </w:rPr>
            </w:pPr>
            <w:bookmarkStart w:id="6" w:name="_Hlk532729630"/>
            <w:r>
              <w:rPr>
                <w:color w:val="595959" w:themeColor="text1" w:themeTint="A6"/>
                <w:sz w:val="18"/>
                <w:szCs w:val="18"/>
              </w:rPr>
              <w:t>Last updated: 19 March 2019</w:t>
            </w:r>
            <w:bookmarkEnd w:id="6"/>
          </w:p>
        </w:tc>
      </w:tr>
      <w:tr w:rsidR="00A36E8B" w:rsidRPr="004D68B6" w14:paraId="2673F735" w14:textId="77777777" w:rsidTr="00D11228">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23BAD4B" w14:textId="2A19A0B5" w:rsidR="00A36E8B" w:rsidRPr="008F179C" w:rsidRDefault="00A36E8B" w:rsidP="00D11228">
            <w:pPr>
              <w:spacing w:after="0"/>
              <w:rPr>
                <w:rFonts w:cstheme="minorHAnsi"/>
              </w:rPr>
            </w:pPr>
          </w:p>
        </w:tc>
      </w:tr>
      <w:tr w:rsidR="00A36E8B" w:rsidRPr="004D68B6" w14:paraId="3DE8357C" w14:textId="77777777" w:rsidTr="005223A2">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08B9546D" w14:textId="77777777" w:rsidR="00896223" w:rsidRDefault="00896223" w:rsidP="00896223">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Pr>
                <w:rFonts w:eastAsia="Times New Roman" w:cs="Times New Roman"/>
                <w:color w:val="1C75BC"/>
                <w:sz w:val="36"/>
                <w:szCs w:val="36"/>
                <w:lang w:eastAsia="en-GB"/>
              </w:rPr>
              <w:t>Institutional information</w:t>
            </w:r>
          </w:p>
          <w:p w14:paraId="48E88FC5" w14:textId="77777777" w:rsidR="00896223" w:rsidRDefault="00896223" w:rsidP="00896223">
            <w:pPr>
              <w:shd w:val="clear" w:color="auto" w:fill="FFFFFF"/>
              <w:spacing w:after="0"/>
              <w:contextualSpacing/>
              <w:rPr>
                <w:rFonts w:eastAsia="Times New Roman" w:cs="Times New Roman"/>
                <w:b/>
                <w:bCs/>
                <w:color w:val="4A4A4A"/>
                <w:sz w:val="21"/>
                <w:szCs w:val="21"/>
                <w:lang w:eastAsia="en-GB"/>
              </w:rPr>
            </w:pPr>
          </w:p>
          <w:p w14:paraId="1CE05EEC" w14:textId="77777777" w:rsidR="00896223" w:rsidRDefault="00896223" w:rsidP="00896223">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Organization(s):</w:t>
            </w:r>
          </w:p>
          <w:p w14:paraId="66A63BDB" w14:textId="77777777" w:rsidR="00896223" w:rsidRDefault="00896223" w:rsidP="00896223">
            <w:pPr>
              <w:shd w:val="clear" w:color="auto" w:fill="FFFFFF"/>
              <w:spacing w:after="0"/>
              <w:contextualSpacing/>
              <w:rPr>
                <w:rFonts w:eastAsia="Times New Roman" w:cs="Times New Roman"/>
                <w:color w:val="4A4A4A"/>
                <w:sz w:val="21"/>
                <w:szCs w:val="21"/>
                <w:lang w:eastAsia="en-GB"/>
              </w:rPr>
            </w:pPr>
          </w:p>
          <w:p w14:paraId="3E0416B7" w14:textId="44FED618" w:rsidR="00A36E8B" w:rsidRPr="00896223" w:rsidRDefault="00896223" w:rsidP="00896223">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United Nations Children's Fund (UNICEF)</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7" w:name="_Toc36655609"/>
            <w:bookmarkStart w:id="8" w:name="_Toc36812572"/>
            <w:bookmarkStart w:id="9" w:name="_Toc36812685"/>
            <w:bookmarkStart w:id="10" w:name="_Toc36813072"/>
            <w:r w:rsidRPr="000149A9">
              <w:t>1. Data reporter</w:t>
            </w:r>
            <w:bookmarkEnd w:id="7"/>
            <w:bookmarkEnd w:id="8"/>
            <w:bookmarkEnd w:id="9"/>
            <w:bookmarkEnd w:id="10"/>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3AD2A16E"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r w:rsidR="00F07040">
              <w:rPr>
                <w:rFonts w:ascii="Calibri" w:eastAsia="Times New Roman" w:hAnsi="Calibri" w:cs="Calibri"/>
              </w:rPr>
              <w:t>o</w:t>
            </w:r>
            <w:r w:rsidRPr="00325D2B">
              <w:rPr>
                <w:rFonts w:ascii="Calibri" w:eastAsia="Times New Roman" w:hAnsi="Calibri" w:cs="Calibri"/>
              </w:rPr>
              <w:t xml:space="preserve">rganisation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1" w:name="_Toc36655610"/>
            <w:bookmarkStart w:id="12" w:name="_Toc36812573"/>
            <w:bookmarkStart w:id="13" w:name="_Toc36812686"/>
            <w:bookmarkStart w:id="14" w:name="_Toc36813073"/>
            <w:r w:rsidRPr="000149A9">
              <w:t>2. Definition, concepts, and classifications</w:t>
            </w:r>
            <w:bookmarkEnd w:id="11"/>
            <w:bookmarkEnd w:id="12"/>
            <w:bookmarkEnd w:id="13"/>
            <w:bookmarkEnd w:id="14"/>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2AE61EE4"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0A9816AE" w14:textId="77777777" w:rsidR="001B1DBA" w:rsidRDefault="001B1DBA" w:rsidP="001B1DBA">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Pr>
                <w:rFonts w:eastAsia="Times New Roman" w:cs="Times New Roman"/>
                <w:color w:val="1C75BC"/>
                <w:sz w:val="36"/>
                <w:szCs w:val="36"/>
                <w:lang w:eastAsia="en-GB"/>
              </w:rPr>
              <w:t>Concepts and definitions</w:t>
            </w:r>
          </w:p>
          <w:p w14:paraId="07AAC357" w14:textId="77777777" w:rsidR="001B1DBA" w:rsidRDefault="001B1DBA" w:rsidP="001B1DBA">
            <w:pPr>
              <w:shd w:val="clear" w:color="auto" w:fill="FFFFFF"/>
              <w:spacing w:after="0"/>
              <w:contextualSpacing/>
              <w:rPr>
                <w:rFonts w:eastAsia="Times New Roman" w:cs="Times New Roman"/>
                <w:b/>
                <w:bCs/>
                <w:color w:val="4A4A4A"/>
                <w:sz w:val="21"/>
                <w:szCs w:val="21"/>
                <w:lang w:eastAsia="en-GB"/>
              </w:rPr>
            </w:pPr>
          </w:p>
          <w:p w14:paraId="3D14A7F0" w14:textId="77777777" w:rsidR="001B1DBA" w:rsidRDefault="001B1DBA" w:rsidP="001B1DBA">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Definition:</w:t>
            </w:r>
          </w:p>
          <w:p w14:paraId="5C7B7907" w14:textId="77777777" w:rsidR="001B1DBA" w:rsidRDefault="001B1DBA" w:rsidP="001B1DBA">
            <w:pPr>
              <w:shd w:val="clear" w:color="auto" w:fill="FFFFFF"/>
              <w:spacing w:after="0"/>
              <w:contextualSpacing/>
              <w:rPr>
                <w:rFonts w:eastAsia="Times New Roman" w:cs="Times New Roman"/>
                <w:color w:val="4A4A4A"/>
                <w:sz w:val="21"/>
                <w:szCs w:val="21"/>
                <w:lang w:eastAsia="en-GB"/>
              </w:rPr>
            </w:pPr>
          </w:p>
          <w:p w14:paraId="7583717C" w14:textId="77777777" w:rsidR="00334DB3" w:rsidRDefault="001B1DBA" w:rsidP="001B1DBA">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Proportion of women aged 20-24 years who were married or in a union before age 15 and before age 18</w:t>
            </w:r>
            <w:r w:rsidR="00AE2786">
              <w:rPr>
                <w:rFonts w:eastAsia="Times New Roman" w:cs="Times New Roman"/>
                <w:color w:val="4A4A4A"/>
                <w:sz w:val="21"/>
                <w:szCs w:val="21"/>
                <w:lang w:eastAsia="en-GB"/>
              </w:rPr>
              <w:t>.</w:t>
            </w:r>
          </w:p>
          <w:p w14:paraId="42DE27F7" w14:textId="77777777" w:rsidR="00AE2786" w:rsidRDefault="00AE2786" w:rsidP="001B1DBA">
            <w:pPr>
              <w:shd w:val="clear" w:color="auto" w:fill="FFFFFF"/>
              <w:spacing w:after="0"/>
              <w:contextualSpacing/>
              <w:rPr>
                <w:rFonts w:eastAsia="Times New Roman" w:cs="Times New Roman"/>
                <w:color w:val="4A4A4A"/>
                <w:sz w:val="21"/>
                <w:szCs w:val="21"/>
                <w:lang w:eastAsia="en-GB"/>
              </w:rPr>
            </w:pPr>
          </w:p>
          <w:p w14:paraId="58D76E2F" w14:textId="77777777" w:rsidR="00AE2786" w:rsidRDefault="00AE2786" w:rsidP="00AE2786">
            <w:pPr>
              <w:shd w:val="clear" w:color="auto" w:fill="FFFFFF"/>
              <w:spacing w:after="0"/>
              <w:contextualSpacing/>
              <w:rPr>
                <w:rFonts w:eastAsia="Times New Roman" w:cs="Times New Roman"/>
                <w:b/>
                <w:bCs/>
                <w:color w:val="4A4A4A"/>
                <w:sz w:val="21"/>
                <w:szCs w:val="21"/>
                <w:lang w:eastAsia="en-GB"/>
              </w:rPr>
            </w:pPr>
            <w:r>
              <w:rPr>
                <w:rFonts w:eastAsia="Times New Roman" w:cs="Times New Roman"/>
                <w:b/>
                <w:bCs/>
                <w:color w:val="4A4A4A"/>
                <w:sz w:val="21"/>
                <w:szCs w:val="21"/>
                <w:lang w:eastAsia="en-GB"/>
              </w:rPr>
              <w:t>Concepts:</w:t>
            </w:r>
          </w:p>
          <w:p w14:paraId="5BAAF895" w14:textId="77777777" w:rsidR="00AE2786" w:rsidRDefault="00AE2786" w:rsidP="00AE2786">
            <w:pPr>
              <w:shd w:val="clear" w:color="auto" w:fill="FFFFFF"/>
              <w:spacing w:after="0"/>
              <w:contextualSpacing/>
              <w:rPr>
                <w:rFonts w:eastAsia="Times New Roman" w:cs="Times New Roman"/>
                <w:color w:val="4A4A4A"/>
                <w:sz w:val="21"/>
                <w:szCs w:val="21"/>
                <w:lang w:eastAsia="en-GB"/>
              </w:rPr>
            </w:pPr>
          </w:p>
          <w:p w14:paraId="7DA6E8AF" w14:textId="090BC644" w:rsidR="00AE2786" w:rsidRPr="001B1DBA" w:rsidRDefault="00AE2786" w:rsidP="001B1DBA">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Both formal (i.e., marriages) and informal unions are covered under this indicator. Informal unions are generally defined as those in which a couple lives together for some time, intends to have a lasting relationship, but for which there has been no formal civil or religious ceremony (i.e., cohabitation).</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5" w:name="_Toc36636923"/>
            <w:bookmarkStart w:id="16" w:name="_Toc36655611"/>
            <w:bookmarkStart w:id="17" w:name="_Toc36812574"/>
            <w:bookmarkStart w:id="18" w:name="_Toc36812687"/>
            <w:bookmarkStart w:id="19" w:name="_Toc36813074"/>
            <w:r w:rsidRPr="000149A9">
              <w:t>3</w:t>
            </w:r>
            <w:r w:rsidR="004C665C" w:rsidRPr="000149A9">
              <w:t>. Data source type and data collection method</w:t>
            </w:r>
            <w:bookmarkEnd w:id="15"/>
            <w:bookmarkEnd w:id="16"/>
            <w:bookmarkEnd w:id="17"/>
            <w:bookmarkEnd w:id="18"/>
            <w:bookmarkEnd w:id="19"/>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3D87BC8C"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AC14836" w14:textId="77777777" w:rsidR="00AB43BA" w:rsidRDefault="00AB43BA" w:rsidP="00AB43BA">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Pr>
                <w:rFonts w:eastAsia="Times New Roman" w:cs="Times New Roman"/>
                <w:color w:val="1C75BC"/>
                <w:sz w:val="36"/>
                <w:szCs w:val="36"/>
                <w:lang w:eastAsia="en-GB"/>
              </w:rPr>
              <w:t>Data Sources</w:t>
            </w:r>
          </w:p>
          <w:p w14:paraId="33FBEA1A" w14:textId="77777777" w:rsidR="00AB43BA" w:rsidRDefault="00AB43BA" w:rsidP="00AB43BA">
            <w:pPr>
              <w:shd w:val="clear" w:color="auto" w:fill="FFFFFF"/>
              <w:spacing w:after="0"/>
              <w:contextualSpacing/>
              <w:rPr>
                <w:rFonts w:eastAsia="Times New Roman" w:cs="Times New Roman"/>
                <w:b/>
                <w:bCs/>
                <w:color w:val="4A4A4A"/>
                <w:sz w:val="21"/>
                <w:szCs w:val="21"/>
                <w:lang w:eastAsia="en-GB"/>
              </w:rPr>
            </w:pPr>
          </w:p>
          <w:p w14:paraId="6250C0E8" w14:textId="77777777" w:rsidR="00AB43BA" w:rsidRDefault="00AB43BA" w:rsidP="00AB43BA">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Description:</w:t>
            </w:r>
          </w:p>
          <w:p w14:paraId="4F057FD6" w14:textId="77777777" w:rsidR="00AB43BA" w:rsidRDefault="00AB43BA" w:rsidP="00AB43BA">
            <w:pPr>
              <w:shd w:val="clear" w:color="auto" w:fill="FFFFFF"/>
              <w:spacing w:after="0"/>
              <w:contextualSpacing/>
              <w:rPr>
                <w:rFonts w:eastAsia="Times New Roman" w:cs="Times New Roman"/>
                <w:color w:val="4A4A4A"/>
                <w:sz w:val="21"/>
                <w:szCs w:val="21"/>
                <w:lang w:eastAsia="en-GB"/>
              </w:rPr>
            </w:pPr>
          </w:p>
          <w:p w14:paraId="1EE62008" w14:textId="34672EC8" w:rsidR="006220A3" w:rsidRPr="00AB43BA" w:rsidRDefault="00AB43BA" w:rsidP="00AB43BA">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Household surveys such as UNICEF-supported MICS and DHS have been collecting data on this indicator in low- and middle-income countries since around the late 1980s. In some countries, such data are also collected through national censuses or other national household surveys.</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43326C83" w14:textId="77777777" w:rsidR="00AB43BA" w:rsidRDefault="00AB43BA" w:rsidP="00AB43BA">
            <w:pPr>
              <w:shd w:val="clear" w:color="auto" w:fill="FFFFFF"/>
              <w:spacing w:after="0"/>
              <w:contextualSpacing/>
              <w:rPr>
                <w:rFonts w:eastAsia="Times New Roman" w:cs="Times New Roman"/>
                <w:b/>
                <w:bCs/>
                <w:color w:val="4A4A4A"/>
                <w:sz w:val="21"/>
                <w:szCs w:val="21"/>
                <w:lang w:eastAsia="en-GB"/>
              </w:rPr>
            </w:pPr>
            <w:r>
              <w:rPr>
                <w:rFonts w:eastAsia="Times New Roman" w:cs="Times New Roman"/>
                <w:b/>
                <w:bCs/>
                <w:color w:val="4A4A4A"/>
                <w:sz w:val="21"/>
                <w:szCs w:val="21"/>
                <w:lang w:eastAsia="en-GB"/>
              </w:rPr>
              <w:t>Collection process:</w:t>
            </w:r>
          </w:p>
          <w:p w14:paraId="0079B8B5" w14:textId="77777777" w:rsidR="00AB43BA" w:rsidRDefault="00AB43BA" w:rsidP="00AB43BA">
            <w:pPr>
              <w:shd w:val="clear" w:color="auto" w:fill="FFFFFF"/>
              <w:spacing w:after="0"/>
              <w:contextualSpacing/>
              <w:rPr>
                <w:rFonts w:eastAsia="Times New Roman" w:cs="Times New Roman"/>
                <w:color w:val="4A4A4A"/>
                <w:sz w:val="21"/>
                <w:szCs w:val="21"/>
                <w:lang w:eastAsia="en-GB"/>
              </w:rPr>
            </w:pPr>
          </w:p>
          <w:p w14:paraId="58AFA66F" w14:textId="77777777" w:rsidR="00AB43BA" w:rsidRDefault="00AB43BA" w:rsidP="00AB43BA">
            <w:pPr>
              <w:numPr>
                <w:ilvl w:val="1"/>
                <w:numId w:val="23"/>
              </w:numPr>
              <w:shd w:val="clear" w:color="auto" w:fill="FFFFFF"/>
              <w:spacing w:after="0" w:line="276" w:lineRule="auto"/>
              <w:contextualSpacing/>
              <w:rPr>
                <w:rFonts w:eastAsia="Times New Roman" w:cs="Times New Roman"/>
                <w:color w:val="4A4A4A"/>
                <w:sz w:val="21"/>
                <w:szCs w:val="21"/>
                <w:lang w:eastAsia="en-GB"/>
              </w:rPr>
            </w:pPr>
            <w:r>
              <w:rPr>
                <w:rFonts w:eastAsia="Times New Roman" w:cs="Times New Roman"/>
                <w:color w:val="4A4A4A"/>
                <w:sz w:val="21"/>
                <w:szCs w:val="21"/>
                <w:lang w:eastAsia="en-GB"/>
              </w:rPr>
              <w:t>UNICEF undertakes a wide consultative process of compiling and assessing data from national sources for the purposes of updating its global databases on the situation of children. Up until 2017, the mechanism UNICEF used to collaborate with national authorities on ensuring data quality and international comparability on key indicators of relevance to children was known as Country Data Reporting on the Indicators for the Goals (CRING).</w:t>
            </w:r>
          </w:p>
          <w:p w14:paraId="6590D062" w14:textId="77777777" w:rsidR="00AB43BA" w:rsidRDefault="00AB43BA" w:rsidP="00AB43BA">
            <w:pPr>
              <w:numPr>
                <w:ilvl w:val="1"/>
                <w:numId w:val="23"/>
              </w:numPr>
              <w:shd w:val="clear" w:color="auto" w:fill="FFFFFF"/>
              <w:spacing w:after="0" w:line="276" w:lineRule="auto"/>
              <w:contextualSpacing/>
              <w:rPr>
                <w:rFonts w:eastAsia="Times New Roman" w:cs="Times New Roman"/>
                <w:color w:val="4A4A4A"/>
                <w:sz w:val="21"/>
                <w:szCs w:val="21"/>
                <w:lang w:eastAsia="en-GB"/>
              </w:rPr>
            </w:pPr>
          </w:p>
          <w:p w14:paraId="0136E6C1" w14:textId="217FFAC5" w:rsidR="00AB65AE" w:rsidRPr="00AB43BA" w:rsidRDefault="00AB43BA" w:rsidP="00240AFC">
            <w:pPr>
              <w:numPr>
                <w:ilvl w:val="1"/>
                <w:numId w:val="23"/>
              </w:numPr>
              <w:shd w:val="clear" w:color="auto" w:fill="FFFFFF"/>
              <w:spacing w:after="0" w:line="276" w:lineRule="auto"/>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As of 2018, UNICEF launched a new country consultation process with national authorities on selected child-related global SDG indicators it is custodian or co-custodian to meet emerging standards and guidelines on data flows for global reporting of SDG indicators, which place strong emphasis on technical rigour, country ownership and use of official data and statistics. The consultation process solicited feedback directly from National </w:t>
            </w:r>
            <w:r>
              <w:rPr>
                <w:rFonts w:eastAsia="Times New Roman" w:cs="Times New Roman"/>
                <w:color w:val="4A4A4A"/>
                <w:sz w:val="21"/>
                <w:szCs w:val="21"/>
                <w:lang w:eastAsia="en-GB"/>
              </w:rPr>
              <w:lastRenderedPageBreak/>
              <w:t xml:space="preserve">Statistical Offices, as well as other government agencies responsible for official statistics, on the compilation of the indicators, including the data sources used, and the application of internationally agreed definitions, classification and methodologies to the data from that source. Once reviewed, feedback is made available to countries on whether or not specific data points are accepted, and if not, the reasons why. More details on the consultation process can be found in the </w:t>
            </w:r>
            <w:hyperlink r:id="rId8" w:history="1">
              <w:r>
                <w:rPr>
                  <w:rStyle w:val="Hyperlink"/>
                  <w:rFonts w:eastAsia="Times New Roman" w:cs="Times New Roman"/>
                  <w:sz w:val="21"/>
                  <w:szCs w:val="21"/>
                  <w:lang w:eastAsia="en-GB"/>
                </w:rPr>
                <w:t>guidance note</w:t>
              </w:r>
            </w:hyperlink>
            <w:r>
              <w:rPr>
                <w:rFonts w:eastAsia="Times New Roman" w:cs="Times New Roman"/>
                <w:color w:val="4A4A4A"/>
                <w:sz w:val="21"/>
                <w:szCs w:val="21"/>
                <w:lang w:eastAsia="en-GB"/>
              </w:rPr>
              <w:t xml:space="preserve">. </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7549B5C2" w:rsidR="00AB65AE" w:rsidRPr="004D68B6" w:rsidRDefault="00AB65AE" w:rsidP="00EC064B">
            <w:pPr>
              <w:spacing w:after="0" w:line="240" w:lineRule="auto"/>
              <w:rPr>
                <w:rFonts w:ascii="Calibri" w:eastAsia="Times New Roman" w:hAnsi="Calibri" w:cs="Calibri"/>
                <w:color w:val="000000"/>
              </w:rPr>
            </w:pPr>
            <w:r w:rsidRPr="00FA20D9">
              <w:lastRenderedPageBreak/>
              <w:t>3.d. Data collection calendar</w:t>
            </w:r>
          </w:p>
        </w:tc>
        <w:tc>
          <w:tcPr>
            <w:tcW w:w="3246" w:type="pct"/>
            <w:tcBorders>
              <w:top w:val="nil"/>
              <w:left w:val="nil"/>
              <w:bottom w:val="single" w:sz="4" w:space="0" w:color="auto"/>
              <w:right w:val="single" w:sz="4" w:space="0" w:color="auto"/>
            </w:tcBorders>
            <w:shd w:val="clear" w:color="auto" w:fill="auto"/>
          </w:tcPr>
          <w:p w14:paraId="4D28B477" w14:textId="77777777" w:rsidR="00E9591C" w:rsidRDefault="00E9591C" w:rsidP="00E9591C">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Pr>
                <w:rFonts w:eastAsia="Times New Roman" w:cs="Times New Roman"/>
                <w:color w:val="1C75BC"/>
                <w:sz w:val="36"/>
                <w:szCs w:val="36"/>
                <w:lang w:eastAsia="en-GB"/>
              </w:rPr>
              <w:t>Calendar</w:t>
            </w:r>
          </w:p>
          <w:p w14:paraId="2DA01ADD" w14:textId="77777777" w:rsidR="00E9591C" w:rsidRDefault="00E9591C" w:rsidP="00E9591C">
            <w:pPr>
              <w:shd w:val="clear" w:color="auto" w:fill="FFFFFF"/>
              <w:spacing w:after="0"/>
              <w:contextualSpacing/>
              <w:rPr>
                <w:rFonts w:eastAsia="Times New Roman" w:cs="Times New Roman"/>
                <w:b/>
                <w:bCs/>
                <w:color w:val="4A4A4A"/>
                <w:sz w:val="21"/>
                <w:szCs w:val="21"/>
                <w:lang w:eastAsia="en-GB"/>
              </w:rPr>
            </w:pPr>
          </w:p>
          <w:p w14:paraId="72335DC2" w14:textId="77777777" w:rsidR="00E9591C" w:rsidRDefault="00E9591C" w:rsidP="00E9591C">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Data collection:</w:t>
            </w:r>
          </w:p>
          <w:p w14:paraId="5805C371" w14:textId="6DF36340" w:rsidR="00AB65AE" w:rsidRPr="00E9591C" w:rsidRDefault="00E9591C" w:rsidP="00E9591C">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UNICEF will undertake an annual country consultation likely between December and January every year to allow for review and processing of the feedback received in order to meet global SDG reporting deadlines.</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15E4CFB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3.e. Data release calendar</w:t>
            </w:r>
          </w:p>
        </w:tc>
        <w:tc>
          <w:tcPr>
            <w:tcW w:w="3246" w:type="pct"/>
            <w:tcBorders>
              <w:top w:val="nil"/>
              <w:left w:val="nil"/>
              <w:bottom w:val="single" w:sz="4" w:space="0" w:color="auto"/>
              <w:right w:val="single" w:sz="4" w:space="0" w:color="auto"/>
            </w:tcBorders>
            <w:shd w:val="clear" w:color="auto" w:fill="auto"/>
          </w:tcPr>
          <w:p w14:paraId="1A61E673" w14:textId="77777777" w:rsidR="00492A4D" w:rsidRDefault="00492A4D" w:rsidP="00492A4D">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Data release:</w:t>
            </w:r>
          </w:p>
          <w:p w14:paraId="097FA4BD" w14:textId="0F3D8FF5" w:rsidR="00AB65AE" w:rsidRPr="00492A4D" w:rsidRDefault="00492A4D" w:rsidP="00492A4D">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March 2019.</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416842C0"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3.f. Data providers</w:t>
            </w:r>
          </w:p>
        </w:tc>
        <w:tc>
          <w:tcPr>
            <w:tcW w:w="3246" w:type="pct"/>
            <w:tcBorders>
              <w:top w:val="nil"/>
              <w:left w:val="nil"/>
              <w:bottom w:val="single" w:sz="4" w:space="0" w:color="auto"/>
              <w:right w:val="single" w:sz="4" w:space="0" w:color="auto"/>
            </w:tcBorders>
            <w:shd w:val="clear" w:color="auto" w:fill="auto"/>
          </w:tcPr>
          <w:p w14:paraId="35851DA7" w14:textId="77777777" w:rsidR="001057AA" w:rsidRDefault="001057AA" w:rsidP="001057AA">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Pr>
                <w:rFonts w:eastAsia="Times New Roman" w:cs="Times New Roman"/>
                <w:color w:val="1C75BC"/>
                <w:sz w:val="36"/>
                <w:szCs w:val="36"/>
                <w:lang w:eastAsia="en-GB"/>
              </w:rPr>
              <w:t>Data providers</w:t>
            </w:r>
          </w:p>
          <w:p w14:paraId="4ECF525B" w14:textId="77777777" w:rsidR="001057AA" w:rsidRDefault="001057AA" w:rsidP="001057AA">
            <w:pPr>
              <w:shd w:val="clear" w:color="auto" w:fill="FFFFFF"/>
              <w:spacing w:after="0"/>
              <w:contextualSpacing/>
              <w:rPr>
                <w:rFonts w:eastAsia="Times New Roman" w:cs="Times New Roman"/>
                <w:b/>
                <w:bCs/>
                <w:color w:val="4A4A4A"/>
                <w:sz w:val="21"/>
                <w:szCs w:val="21"/>
                <w:lang w:eastAsia="en-GB"/>
              </w:rPr>
            </w:pPr>
          </w:p>
          <w:p w14:paraId="406AF515" w14:textId="7ABFE284" w:rsidR="00AB65AE" w:rsidRPr="001057AA" w:rsidRDefault="001057AA" w:rsidP="001057AA">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National Statistical Offices (in most cases)</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291DE66B"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3.g. Data compilers</w:t>
            </w:r>
          </w:p>
        </w:tc>
        <w:tc>
          <w:tcPr>
            <w:tcW w:w="3246" w:type="pct"/>
            <w:tcBorders>
              <w:top w:val="nil"/>
              <w:left w:val="nil"/>
              <w:bottom w:val="single" w:sz="4" w:space="0" w:color="auto"/>
              <w:right w:val="single" w:sz="4" w:space="0" w:color="auto"/>
            </w:tcBorders>
            <w:shd w:val="clear" w:color="auto" w:fill="auto"/>
          </w:tcPr>
          <w:p w14:paraId="5126EFDE" w14:textId="77777777" w:rsidR="001723A0" w:rsidRDefault="001723A0" w:rsidP="001723A0">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Pr>
                <w:rFonts w:eastAsia="Times New Roman" w:cs="Times New Roman"/>
                <w:color w:val="1C75BC"/>
                <w:sz w:val="36"/>
                <w:szCs w:val="36"/>
                <w:lang w:eastAsia="en-GB"/>
              </w:rPr>
              <w:t>Data compilers</w:t>
            </w:r>
          </w:p>
          <w:p w14:paraId="5DCCFB87" w14:textId="77777777" w:rsidR="001723A0" w:rsidRDefault="001723A0" w:rsidP="001723A0">
            <w:pPr>
              <w:shd w:val="clear" w:color="auto" w:fill="FFFFFF"/>
              <w:spacing w:after="0"/>
              <w:contextualSpacing/>
              <w:rPr>
                <w:rFonts w:eastAsia="Times New Roman" w:cs="Times New Roman"/>
                <w:b/>
                <w:bCs/>
                <w:color w:val="4A4A4A"/>
                <w:sz w:val="21"/>
                <w:szCs w:val="21"/>
                <w:lang w:eastAsia="en-GB"/>
              </w:rPr>
            </w:pPr>
          </w:p>
          <w:p w14:paraId="39191C53" w14:textId="57D9C226" w:rsidR="00AB65AE" w:rsidRPr="001723A0" w:rsidRDefault="001723A0" w:rsidP="001723A0">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UNICEF</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3AEFAFCA"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 xml:space="preserve">3.h.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20" w:name="_Toc36655612"/>
            <w:bookmarkStart w:id="21" w:name="_Toc36812575"/>
            <w:bookmarkStart w:id="22" w:name="_Toc36812688"/>
            <w:bookmarkStart w:id="23" w:name="_Toc36813075"/>
            <w:r w:rsidRPr="007A28BA">
              <w:t>4</w:t>
            </w:r>
            <w:r w:rsidR="00F96E8D" w:rsidRPr="007A28BA">
              <w:t>. Other methodological considerations</w:t>
            </w:r>
            <w:bookmarkEnd w:id="20"/>
            <w:bookmarkEnd w:id="21"/>
            <w:bookmarkEnd w:id="22"/>
            <w:bookmarkEnd w:id="23"/>
          </w:p>
        </w:tc>
      </w:tr>
      <w:tr w:rsidR="007C63C4" w:rsidRPr="004D68B6" w14:paraId="2B9B9372" w14:textId="77777777" w:rsidTr="00A0576E">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tcPr>
          <w:p w14:paraId="2DB59ED8" w14:textId="1208A372" w:rsidR="007C63C4"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42EACF9" w14:textId="77777777" w:rsidR="002117B9" w:rsidRDefault="002117B9" w:rsidP="002117B9">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Rationale:</w:t>
            </w:r>
          </w:p>
          <w:p w14:paraId="1DAEA7CC" w14:textId="77777777" w:rsidR="002117B9" w:rsidRDefault="002117B9" w:rsidP="002117B9">
            <w:pPr>
              <w:shd w:val="clear" w:color="auto" w:fill="FFFFFF"/>
              <w:spacing w:after="0"/>
              <w:contextualSpacing/>
              <w:rPr>
                <w:rFonts w:eastAsia="Times New Roman" w:cs="Times New Roman"/>
                <w:color w:val="4A4A4A"/>
                <w:sz w:val="21"/>
                <w:szCs w:val="21"/>
                <w:lang w:eastAsia="en-GB"/>
              </w:rPr>
            </w:pPr>
          </w:p>
          <w:p w14:paraId="506800B2" w14:textId="77777777" w:rsidR="002117B9" w:rsidRDefault="002117B9" w:rsidP="002117B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Marriage before the age of 18 is a fundamental violation of human rights. Child marriage often compromises a girl’s development by resulting in early pregnancy and social isolation, interrupting her schooling, limiting her opportunities for career and vocational advancement and placing her at increased risk of intimate partner violence. In many cultures, girls reaching puberty are expected to assume gender roles associated with womanhood. These include entering a union and becoming a mother. </w:t>
            </w:r>
          </w:p>
          <w:p w14:paraId="40EF805C" w14:textId="77777777" w:rsidR="002117B9" w:rsidRDefault="002117B9" w:rsidP="002117B9">
            <w:pPr>
              <w:shd w:val="clear" w:color="auto" w:fill="FFFFFF"/>
              <w:spacing w:after="0"/>
              <w:contextualSpacing/>
              <w:rPr>
                <w:rFonts w:eastAsia="Times New Roman" w:cs="Times New Roman"/>
                <w:color w:val="4A4A4A"/>
                <w:sz w:val="21"/>
                <w:szCs w:val="21"/>
                <w:lang w:eastAsia="en-GB"/>
              </w:rPr>
            </w:pPr>
          </w:p>
          <w:p w14:paraId="3F1C1F24" w14:textId="77777777" w:rsidR="002117B9" w:rsidRDefault="002117B9" w:rsidP="002117B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 xml:space="preserve">The practice of early/child marriage is a direct manifestation of gender inequality. </w:t>
            </w:r>
          </w:p>
          <w:p w14:paraId="34E37A20" w14:textId="77777777" w:rsidR="002117B9" w:rsidRDefault="002117B9" w:rsidP="002117B9">
            <w:pPr>
              <w:shd w:val="clear" w:color="auto" w:fill="FFFFFF"/>
              <w:spacing w:after="0"/>
              <w:contextualSpacing/>
              <w:rPr>
                <w:rFonts w:eastAsia="Times New Roman" w:cs="Times New Roman"/>
                <w:color w:val="4A4A4A"/>
                <w:sz w:val="21"/>
                <w:szCs w:val="21"/>
                <w:lang w:eastAsia="en-GB"/>
              </w:rPr>
            </w:pPr>
          </w:p>
          <w:p w14:paraId="6F5859B0" w14:textId="72429821" w:rsidR="007C63C4" w:rsidRPr="002117B9" w:rsidRDefault="002117B9" w:rsidP="002117B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The issue of child marriage is addressed in a number of international conventions and agreements. Although marriage is not mentioned directly in the Convention on the Rights of the Child, child marriage is linked to other rights – such as the right to freedom of expression, the right to protection from all forms of abuse, and the right to be protected from harmful traditional practices.</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251C2405" w14:textId="77777777" w:rsidR="001407E0" w:rsidRDefault="001407E0" w:rsidP="001407E0">
            <w:pPr>
              <w:shd w:val="clear" w:color="auto" w:fill="FFFFFF"/>
              <w:spacing w:after="0"/>
              <w:contextualSpacing/>
              <w:rPr>
                <w:rFonts w:eastAsia="Times New Roman" w:cs="Times New Roman"/>
                <w:b/>
                <w:bCs/>
                <w:color w:val="4A4A4A"/>
                <w:sz w:val="21"/>
                <w:szCs w:val="21"/>
                <w:lang w:eastAsia="en-GB"/>
              </w:rPr>
            </w:pPr>
            <w:r>
              <w:rPr>
                <w:rFonts w:eastAsia="Times New Roman" w:cs="Times New Roman"/>
                <w:b/>
                <w:bCs/>
                <w:color w:val="4A4A4A"/>
                <w:sz w:val="21"/>
                <w:szCs w:val="21"/>
                <w:lang w:eastAsia="en-GB"/>
              </w:rPr>
              <w:t>Comments and limitations:</w:t>
            </w:r>
          </w:p>
          <w:p w14:paraId="439E95D4" w14:textId="77777777" w:rsidR="001407E0" w:rsidRDefault="001407E0" w:rsidP="001407E0">
            <w:pPr>
              <w:shd w:val="clear" w:color="auto" w:fill="FFFFFF"/>
              <w:spacing w:after="0"/>
              <w:contextualSpacing/>
              <w:rPr>
                <w:rFonts w:eastAsia="Times New Roman" w:cs="Times New Roman"/>
                <w:color w:val="4A4A4A"/>
                <w:sz w:val="21"/>
                <w:szCs w:val="21"/>
                <w:lang w:eastAsia="en-GB"/>
              </w:rPr>
            </w:pPr>
          </w:p>
          <w:p w14:paraId="328C0885" w14:textId="4478A051" w:rsidR="007C63C4" w:rsidRPr="001407E0" w:rsidRDefault="001407E0" w:rsidP="001407E0">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There are existing tools and mechanisms for data collection that countries have implemented to monitor the situation with regards to this indicator. The modules used to collect information on marital status among women and men of reproductive age (15-49 years) in the DHS and MICS have been fully harmonized.</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25FC95C5" w14:textId="77777777" w:rsidR="00B12FAF" w:rsidRDefault="00B12FAF" w:rsidP="00B12FAF">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Pr>
                <w:rFonts w:eastAsia="Times New Roman" w:cs="Times New Roman"/>
                <w:color w:val="1C75BC"/>
                <w:sz w:val="36"/>
                <w:szCs w:val="36"/>
                <w:lang w:eastAsia="en-GB"/>
              </w:rPr>
              <w:t>Methodology</w:t>
            </w:r>
          </w:p>
          <w:p w14:paraId="660A5E3C" w14:textId="77777777" w:rsidR="00B12FAF" w:rsidRDefault="00B12FAF" w:rsidP="00B12FAF">
            <w:pPr>
              <w:shd w:val="clear" w:color="auto" w:fill="FFFFFF"/>
              <w:spacing w:after="0"/>
              <w:contextualSpacing/>
              <w:rPr>
                <w:rFonts w:eastAsia="Times New Roman" w:cs="Times New Roman"/>
                <w:b/>
                <w:bCs/>
                <w:color w:val="4A4A4A"/>
                <w:sz w:val="21"/>
                <w:szCs w:val="21"/>
                <w:lang w:eastAsia="en-GB"/>
              </w:rPr>
            </w:pPr>
          </w:p>
          <w:p w14:paraId="36CE226D" w14:textId="77777777" w:rsidR="00B12FAF" w:rsidRDefault="00B12FAF" w:rsidP="00B12FAF">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Computation Method:</w:t>
            </w:r>
          </w:p>
          <w:p w14:paraId="14D79041" w14:textId="4DABF205" w:rsidR="007C63C4" w:rsidRPr="00B12FAF" w:rsidRDefault="00B12FAF" w:rsidP="00B12FAF">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Number of women aged 20-24 who were first married or in union before age 15 (or before age 18) divided by the total number of women aged 20-24 in the population multiplied by 100</w:t>
            </w:r>
            <w:r>
              <w:rPr>
                <w:rFonts w:eastAsia="Times New Roman" w:cs="Times New Roman"/>
                <w:color w:val="4A4A4A"/>
                <w:sz w:val="21"/>
                <w:szCs w:val="21"/>
                <w:lang w:eastAsia="en-GB"/>
              </w:rPr>
              <w:t>.</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2D71876F" w14:textId="77777777" w:rsidR="003820BB" w:rsidRDefault="003820BB" w:rsidP="003820BB">
            <w:pPr>
              <w:shd w:val="clear" w:color="auto" w:fill="FFFFFF"/>
              <w:spacing w:after="0"/>
              <w:contextualSpacing/>
              <w:rPr>
                <w:rFonts w:eastAsia="Times New Roman" w:cs="Times New Roman"/>
                <w:b/>
                <w:bCs/>
                <w:color w:val="4A4A4A"/>
                <w:sz w:val="21"/>
                <w:szCs w:val="21"/>
                <w:lang w:eastAsia="en-GB"/>
              </w:rPr>
            </w:pPr>
            <w:r>
              <w:rPr>
                <w:rFonts w:eastAsia="Times New Roman" w:cs="Times New Roman"/>
                <w:b/>
                <w:color w:val="4A4A4A"/>
                <w:sz w:val="21"/>
                <w:szCs w:val="21"/>
                <w:lang w:eastAsia="en-GB"/>
              </w:rPr>
              <w:t>Treatment of missing values</w:t>
            </w:r>
            <w:r>
              <w:rPr>
                <w:rFonts w:eastAsia="Times New Roman" w:cs="Times New Roman"/>
                <w:b/>
                <w:bCs/>
                <w:color w:val="4A4A4A"/>
                <w:sz w:val="21"/>
                <w:szCs w:val="21"/>
                <w:lang w:eastAsia="en-GB"/>
              </w:rPr>
              <w:t>:</w:t>
            </w:r>
          </w:p>
          <w:p w14:paraId="77658A75" w14:textId="77777777" w:rsidR="003820BB" w:rsidRDefault="003820BB" w:rsidP="003820BB">
            <w:pPr>
              <w:shd w:val="clear" w:color="auto" w:fill="FFFFFF"/>
              <w:spacing w:after="0"/>
              <w:contextualSpacing/>
              <w:rPr>
                <w:rFonts w:eastAsia="Times New Roman" w:cs="Times New Roman"/>
                <w:color w:val="4A4A4A"/>
                <w:sz w:val="21"/>
                <w:szCs w:val="21"/>
                <w:lang w:eastAsia="en-GB"/>
              </w:rPr>
            </w:pPr>
          </w:p>
          <w:p w14:paraId="0D7DA23E" w14:textId="77777777" w:rsidR="003820BB" w:rsidRDefault="003820BB" w:rsidP="003820BB">
            <w:pPr>
              <w:numPr>
                <w:ilvl w:val="0"/>
                <w:numId w:val="22"/>
              </w:numPr>
              <w:shd w:val="clear" w:color="auto" w:fill="FFFFFF"/>
              <w:spacing w:after="0" w:line="240" w:lineRule="auto"/>
              <w:ind w:left="495"/>
              <w:contextualSpacing/>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country level</w:t>
            </w:r>
          </w:p>
          <w:p w14:paraId="27C5E231" w14:textId="77777777" w:rsidR="003820BB" w:rsidRDefault="003820BB" w:rsidP="003820BB">
            <w:pPr>
              <w:shd w:val="clear" w:color="auto" w:fill="FFFFFF"/>
              <w:spacing w:after="0"/>
              <w:ind w:left="495"/>
              <w:contextualSpacing/>
              <w:rPr>
                <w:rFonts w:eastAsia="Times New Roman" w:cs="Times New Roman"/>
                <w:color w:val="4A4A4A"/>
                <w:sz w:val="21"/>
                <w:szCs w:val="21"/>
                <w:lang w:eastAsia="en-GB"/>
              </w:rPr>
            </w:pPr>
          </w:p>
          <w:p w14:paraId="6D833815" w14:textId="19E60E5B" w:rsidR="003820BB" w:rsidRDefault="003820BB" w:rsidP="00F62A16">
            <w:pPr>
              <w:shd w:val="clear" w:color="auto" w:fill="FFFFFF"/>
              <w:spacing w:after="0"/>
              <w:ind w:left="135"/>
              <w:contextualSpacing/>
              <w:rPr>
                <w:rFonts w:eastAsia="Times New Roman" w:cs="Times New Roman"/>
                <w:color w:val="4A4A4A"/>
                <w:sz w:val="21"/>
                <w:szCs w:val="21"/>
                <w:lang w:eastAsia="en-GB"/>
              </w:rPr>
            </w:pPr>
            <w:r>
              <w:rPr>
                <w:rFonts w:eastAsia="Times New Roman" w:cs="Times New Roman"/>
                <w:color w:val="4A4A4A"/>
                <w:sz w:val="21"/>
                <w:szCs w:val="21"/>
                <w:lang w:eastAsia="en-GB"/>
              </w:rPr>
              <w:t>When data for a country are entirely missing, UNICEF does not publish any country-level estimate</w:t>
            </w:r>
            <w:r w:rsidR="00F62A16">
              <w:rPr>
                <w:rFonts w:eastAsia="Times New Roman" w:cs="Times New Roman"/>
                <w:color w:val="4A4A4A"/>
                <w:sz w:val="21"/>
                <w:szCs w:val="21"/>
                <w:lang w:eastAsia="en-GB"/>
              </w:rPr>
              <w:t>.</w:t>
            </w:r>
          </w:p>
          <w:p w14:paraId="29C1881C" w14:textId="77777777" w:rsidR="00F62A16" w:rsidRDefault="00F62A16" w:rsidP="003820BB">
            <w:pPr>
              <w:shd w:val="clear" w:color="auto" w:fill="FFFFFF"/>
              <w:spacing w:after="0"/>
              <w:ind w:left="495"/>
              <w:contextualSpacing/>
              <w:rPr>
                <w:rFonts w:eastAsia="Times New Roman" w:cs="Times New Roman"/>
                <w:color w:val="4A4A4A"/>
                <w:sz w:val="21"/>
                <w:szCs w:val="21"/>
                <w:lang w:eastAsia="en-GB"/>
              </w:rPr>
            </w:pPr>
          </w:p>
          <w:p w14:paraId="5E0B6601" w14:textId="77777777" w:rsidR="003820BB" w:rsidRDefault="003820BB" w:rsidP="003820BB">
            <w:pPr>
              <w:numPr>
                <w:ilvl w:val="0"/>
                <w:numId w:val="22"/>
              </w:numPr>
              <w:shd w:val="clear" w:color="auto" w:fill="FFFFFF"/>
              <w:spacing w:after="0" w:line="240" w:lineRule="auto"/>
              <w:ind w:left="495"/>
              <w:contextualSpacing/>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regional and global levels</w:t>
            </w:r>
          </w:p>
          <w:p w14:paraId="76550F40" w14:textId="77777777" w:rsidR="003820BB" w:rsidRDefault="003820BB" w:rsidP="003820BB">
            <w:pPr>
              <w:shd w:val="clear" w:color="auto" w:fill="FFFFFF"/>
              <w:spacing w:after="0"/>
              <w:ind w:left="495"/>
              <w:contextualSpacing/>
              <w:rPr>
                <w:rFonts w:eastAsia="Times New Roman" w:cs="Times New Roman"/>
                <w:color w:val="4A4A4A"/>
                <w:sz w:val="21"/>
                <w:szCs w:val="21"/>
                <w:lang w:eastAsia="en-GB"/>
              </w:rPr>
            </w:pPr>
          </w:p>
          <w:p w14:paraId="11763FCE" w14:textId="61D50D5B" w:rsidR="007C63C4" w:rsidRPr="003820BB" w:rsidRDefault="003820BB" w:rsidP="00F62A16">
            <w:pPr>
              <w:shd w:val="clear" w:color="auto" w:fill="FFFFFF"/>
              <w:spacing w:after="0"/>
              <w:ind w:left="135"/>
              <w:contextualSpacing/>
              <w:rPr>
                <w:rFonts w:eastAsia="Times New Roman" w:cs="Times New Roman"/>
                <w:color w:val="4A4A4A"/>
                <w:sz w:val="21"/>
                <w:szCs w:val="21"/>
                <w:lang w:eastAsia="en-GB"/>
              </w:rPr>
            </w:pPr>
            <w:r>
              <w:rPr>
                <w:rFonts w:eastAsia="Times New Roman" w:cs="Times New Roman"/>
                <w:color w:val="4A4A4A"/>
                <w:sz w:val="21"/>
                <w:szCs w:val="21"/>
                <w:lang w:eastAsia="en-GB"/>
              </w:rPr>
              <w:t>The regional average is applied to those countries within the region with missing values for the purposes of calculating regional aggregates only but are not published as country-level estimates.</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6CDFABE6" w14:textId="77777777" w:rsidR="005C3EBE" w:rsidRDefault="005C3EBE" w:rsidP="005C3EBE">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Regional aggregates:</w:t>
            </w:r>
          </w:p>
          <w:p w14:paraId="5BD2879F" w14:textId="77777777" w:rsidR="005C3EBE" w:rsidRDefault="005C3EBE" w:rsidP="005C3EBE">
            <w:pPr>
              <w:shd w:val="clear" w:color="auto" w:fill="FFFFFF"/>
              <w:spacing w:after="0"/>
              <w:contextualSpacing/>
              <w:rPr>
                <w:rFonts w:eastAsia="Times New Roman" w:cs="Times New Roman"/>
                <w:color w:val="4A4A4A"/>
                <w:sz w:val="21"/>
                <w:szCs w:val="21"/>
                <w:lang w:eastAsia="en-GB"/>
              </w:rPr>
            </w:pPr>
          </w:p>
          <w:p w14:paraId="6E65421B" w14:textId="52B204E5" w:rsidR="007C63C4" w:rsidRPr="005C3EBE" w:rsidRDefault="005C3EBE" w:rsidP="005C3EBE">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Global aggregates are weighted averages of all the sub-regions that make up the world. Regional aggregates are weighted averages of all the countries within the region.</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 xml:space="preserve">4.h. Methods and guidance available to countries for the </w:t>
            </w:r>
            <w:r w:rsidRPr="00C94E79">
              <w:rPr>
                <w:rFonts w:ascii="Calibri" w:eastAsia="Times New Roman" w:hAnsi="Calibri" w:cs="Calibri"/>
              </w:rPr>
              <w:lastRenderedPageBreak/>
              <w:t>compilation of the data at the national level</w:t>
            </w:r>
          </w:p>
        </w:tc>
        <w:tc>
          <w:tcPr>
            <w:tcW w:w="3261" w:type="pct"/>
            <w:tcBorders>
              <w:top w:val="nil"/>
              <w:left w:val="nil"/>
              <w:bottom w:val="single" w:sz="4" w:space="0" w:color="auto"/>
              <w:right w:val="single" w:sz="4" w:space="0" w:color="auto"/>
            </w:tcBorders>
            <w:shd w:val="clear" w:color="auto" w:fill="auto"/>
          </w:tcPr>
          <w:p w14:paraId="603095A2" w14:textId="77777777" w:rsidR="00BD5F6F" w:rsidRDefault="00BD5F6F" w:rsidP="00BD5F6F">
            <w:pPr>
              <w:shd w:val="clear" w:color="auto" w:fill="FFFFFF"/>
              <w:spacing w:after="0"/>
              <w:contextualSpacing/>
              <w:rPr>
                <w:rFonts w:eastAsia="Times New Roman" w:cs="Times New Roman"/>
                <w:b/>
                <w:bCs/>
                <w:color w:val="4A4A4A"/>
                <w:sz w:val="21"/>
                <w:szCs w:val="21"/>
                <w:lang w:eastAsia="en-GB"/>
              </w:rPr>
            </w:pPr>
            <w:r>
              <w:rPr>
                <w:rFonts w:eastAsia="Times New Roman" w:cs="Times New Roman"/>
                <w:b/>
                <w:bCs/>
                <w:color w:val="4A4A4A"/>
                <w:sz w:val="21"/>
                <w:szCs w:val="21"/>
                <w:lang w:eastAsia="en-GB"/>
              </w:rPr>
              <w:lastRenderedPageBreak/>
              <w:t>Methods and guidance available to countries for the compilation of the data at the national level:</w:t>
            </w:r>
          </w:p>
          <w:p w14:paraId="42E9448A" w14:textId="77777777" w:rsidR="00BD5F6F" w:rsidRDefault="00BD5F6F" w:rsidP="00BD5F6F">
            <w:pPr>
              <w:shd w:val="clear" w:color="auto" w:fill="FFFFFF"/>
              <w:spacing w:after="0"/>
              <w:contextualSpacing/>
              <w:rPr>
                <w:rFonts w:eastAsia="Times New Roman" w:cs="Times New Roman"/>
                <w:b/>
                <w:bCs/>
                <w:color w:val="4A4A4A"/>
                <w:sz w:val="21"/>
                <w:szCs w:val="21"/>
                <w:lang w:eastAsia="en-GB"/>
              </w:rPr>
            </w:pPr>
          </w:p>
          <w:p w14:paraId="68FA19D3" w14:textId="08909C2F" w:rsidR="007C63C4" w:rsidRPr="00BD5F6F" w:rsidRDefault="00BD5F6F" w:rsidP="00BD5F6F">
            <w:pPr>
              <w:shd w:val="clear" w:color="auto" w:fill="FFFFFF"/>
              <w:spacing w:after="0"/>
              <w:contextualSpacing/>
              <w:rPr>
                <w:rFonts w:eastAsia="Times New Roman" w:cs="Times New Roman"/>
                <w:bCs/>
                <w:color w:val="4A4A4A"/>
                <w:sz w:val="21"/>
                <w:szCs w:val="21"/>
                <w:lang w:eastAsia="en-GB"/>
              </w:rPr>
            </w:pPr>
            <w:r>
              <w:rPr>
                <w:rFonts w:eastAsia="Times New Roman" w:cs="Times New Roman"/>
                <w:bCs/>
                <w:color w:val="4A4A4A"/>
                <w:sz w:val="21"/>
                <w:szCs w:val="21"/>
                <w:lang w:eastAsia="en-GB"/>
              </w:rPr>
              <w:t>Countries gather data on child marriage through household surveys such as UNICEF-supported MICS or Demographic and Health Surveys. In some countries, such data are also collected through other national household surveys.</w:t>
            </w: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595A925F"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lastRenderedPageBreak/>
              <w:t xml:space="preserve">4.i.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5F475151" w14:textId="77777777" w:rsidR="00120AD7" w:rsidRDefault="00120AD7" w:rsidP="00120AD7">
            <w:pPr>
              <w:shd w:val="clear" w:color="auto" w:fill="FFFFFF"/>
              <w:spacing w:after="0"/>
              <w:contextualSpacing/>
              <w:rPr>
                <w:rFonts w:eastAsia="Times New Roman" w:cs="Times New Roman"/>
                <w:b/>
                <w:bCs/>
                <w:color w:val="4A4A4A"/>
                <w:sz w:val="21"/>
                <w:szCs w:val="21"/>
                <w:lang w:eastAsia="en-GB"/>
              </w:rPr>
            </w:pPr>
            <w:r>
              <w:rPr>
                <w:rFonts w:eastAsia="Times New Roman" w:cs="Times New Roman"/>
                <w:b/>
                <w:bCs/>
                <w:color w:val="4A4A4A"/>
                <w:sz w:val="21"/>
                <w:szCs w:val="21"/>
                <w:lang w:eastAsia="en-GB"/>
              </w:rPr>
              <w:t>Quality assurance</w:t>
            </w:r>
          </w:p>
          <w:p w14:paraId="4E078038" w14:textId="77777777" w:rsidR="00120AD7" w:rsidRDefault="00120AD7" w:rsidP="00120AD7">
            <w:pPr>
              <w:shd w:val="clear" w:color="auto" w:fill="FFFFFF"/>
              <w:spacing w:after="0"/>
              <w:contextualSpacing/>
              <w:rPr>
                <w:rFonts w:eastAsia="Times New Roman" w:cs="Times New Roman"/>
                <w:color w:val="4A4A4A"/>
                <w:sz w:val="21"/>
                <w:szCs w:val="21"/>
                <w:lang w:eastAsia="en-GB"/>
              </w:rPr>
            </w:pPr>
          </w:p>
          <w:p w14:paraId="10CEBE7C" w14:textId="77777777" w:rsidR="00120AD7" w:rsidRDefault="00120AD7" w:rsidP="00120AD7">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UNICEF maintains the global database on child marriage that is used for SDG and other official reporting. Before the inclusion of any data point in the database, it is reviewed by technical focal points at UNICEF headquarters to check for consistency and overall data quality. This review is based on a set of objective criteria to ensure that only the most recent and reliable information are included in the databases. These criteria include the following: data sources must include proper documentation; data values must be representative at the national population level; data are collected using an appropriate methodology (e.g., sampling); data values are based on a sufficiently large sample; data conform to the standard indicator definition including age group and concepts, to the extent possible; data are plausible based on trends and consistency with previously published/reported estimates for the indicator. </w:t>
            </w:r>
          </w:p>
          <w:p w14:paraId="666E623A" w14:textId="77777777" w:rsidR="00120AD7" w:rsidRDefault="00120AD7" w:rsidP="00120AD7">
            <w:pPr>
              <w:shd w:val="clear" w:color="auto" w:fill="FFFFFF"/>
              <w:spacing w:after="0"/>
              <w:contextualSpacing/>
              <w:rPr>
                <w:rFonts w:eastAsia="Times New Roman" w:cs="Times New Roman"/>
                <w:color w:val="4A4A4A"/>
                <w:sz w:val="21"/>
                <w:szCs w:val="21"/>
                <w:lang w:eastAsia="en-GB"/>
              </w:rPr>
            </w:pPr>
          </w:p>
          <w:p w14:paraId="72EE23D6" w14:textId="5254FBF4" w:rsidR="007C63C4" w:rsidRPr="00120AD7" w:rsidRDefault="00120AD7" w:rsidP="00120AD7">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As of 2018, UNICEF undertakes an annual consultation with government authorities on 10 of the child-related SDG indicators in its role of sole or joint custodian, and in line with its global monitoring mandate and normative commitments to advancing the 2030 Agenda for children. This includes indicator 5.3.1. More details on the process for the country consultation are outlined below. </w:t>
            </w: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0C3FC987"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4.i.i. QA: Practices and guidelines</w:t>
            </w:r>
          </w:p>
        </w:tc>
        <w:tc>
          <w:tcPr>
            <w:tcW w:w="3261"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5022A484"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4.i.ii. QA: Assessment</w:t>
            </w:r>
          </w:p>
        </w:tc>
        <w:tc>
          <w:tcPr>
            <w:tcW w:w="3261" w:type="pct"/>
            <w:tcBorders>
              <w:top w:val="nil"/>
              <w:left w:val="nil"/>
              <w:bottom w:val="single" w:sz="4" w:space="0" w:color="auto"/>
              <w:right w:val="single" w:sz="4" w:space="0" w:color="auto"/>
            </w:tcBorders>
            <w:shd w:val="clear" w:color="auto" w:fill="auto"/>
          </w:tcPr>
          <w:p w14:paraId="615CC2F2" w14:textId="309990FD" w:rsidR="007C63C4" w:rsidRPr="004D68B6" w:rsidRDefault="007C63C4" w:rsidP="004D68B6">
            <w:pPr>
              <w:spacing w:after="0" w:line="240" w:lineRule="auto"/>
              <w:rPr>
                <w:rFonts w:ascii="Calibri" w:eastAsia="Times New Roman" w:hAnsi="Calibri" w:cs="Calibri"/>
                <w:color w:val="000000"/>
              </w:rPr>
            </w:pPr>
          </w:p>
        </w:tc>
      </w:tr>
      <w:tr w:rsidR="007C63C4" w:rsidRPr="004D68B6" w14:paraId="7A9CD5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7886CE8" w14:textId="5595D34F"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4.i.iii. QA: Consultation process</w:t>
            </w:r>
          </w:p>
        </w:tc>
        <w:tc>
          <w:tcPr>
            <w:tcW w:w="3261" w:type="pct"/>
            <w:tcBorders>
              <w:top w:val="nil"/>
              <w:left w:val="nil"/>
              <w:bottom w:val="single" w:sz="4" w:space="0" w:color="auto"/>
              <w:right w:val="single" w:sz="4" w:space="0" w:color="auto"/>
            </w:tcBorders>
            <w:shd w:val="clear" w:color="auto" w:fill="auto"/>
          </w:tcPr>
          <w:p w14:paraId="387BA605" w14:textId="54329F1B"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4" w:name="_Toc36655613"/>
            <w:bookmarkStart w:id="25" w:name="_Toc36812576"/>
            <w:bookmarkStart w:id="26" w:name="_Toc36812689"/>
            <w:bookmarkStart w:id="27" w:name="_Toc36813076"/>
            <w:r w:rsidRPr="001A0E35">
              <w:t>5</w:t>
            </w:r>
            <w:r w:rsidR="00952376" w:rsidRPr="001A0E35">
              <w:t>. Data availability and disaggregation</w:t>
            </w:r>
            <w:bookmarkEnd w:id="24"/>
            <w:bookmarkEnd w:id="25"/>
            <w:bookmarkEnd w:id="26"/>
            <w:bookmarkEnd w:id="27"/>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707318C3" w:rsidR="00202B2D" w:rsidRPr="004D68B6" w:rsidRDefault="0013577B"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202B2D" w:rsidRPr="004D68B6" w14:paraId="6F82EF1D" w14:textId="77777777" w:rsidTr="00A0576E">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732F7FA" w14:textId="77777777" w:rsidR="00704C70" w:rsidRDefault="00704C70" w:rsidP="00704C70">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Pr>
                <w:rFonts w:eastAsia="Times New Roman" w:cs="Times New Roman"/>
                <w:color w:val="1C75BC"/>
                <w:sz w:val="36"/>
                <w:szCs w:val="36"/>
                <w:lang w:eastAsia="en-GB"/>
              </w:rPr>
              <w:t>Data Availability</w:t>
            </w:r>
          </w:p>
          <w:p w14:paraId="7960177F" w14:textId="77777777" w:rsidR="00704C70" w:rsidRDefault="00704C70" w:rsidP="00704C70">
            <w:pPr>
              <w:shd w:val="clear" w:color="auto" w:fill="FFFFFF"/>
              <w:spacing w:after="0"/>
              <w:contextualSpacing/>
              <w:rPr>
                <w:rFonts w:eastAsia="Times New Roman" w:cs="Times New Roman"/>
                <w:b/>
                <w:bCs/>
                <w:color w:val="4A4A4A"/>
                <w:sz w:val="21"/>
                <w:szCs w:val="21"/>
                <w:lang w:eastAsia="en-GB"/>
              </w:rPr>
            </w:pPr>
          </w:p>
          <w:p w14:paraId="76724FB4" w14:textId="77777777" w:rsidR="00704C70" w:rsidRDefault="00704C70" w:rsidP="00704C70">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Comparable data on this indicator are currently available for 126 countries</w:t>
            </w:r>
          </w:p>
          <w:p w14:paraId="4105B924" w14:textId="77777777" w:rsidR="00704C70" w:rsidRDefault="00704C70" w:rsidP="00253F84">
            <w:pPr>
              <w:keepNext/>
              <w:keepLines/>
              <w:shd w:val="clear" w:color="auto" w:fill="FFFFFF"/>
              <w:spacing w:after="0"/>
              <w:contextualSpacing/>
              <w:rPr>
                <w:rFonts w:eastAsia="Times New Roman" w:cs="Times New Roman"/>
                <w:b/>
                <w:bCs/>
                <w:color w:val="4A4A4A"/>
                <w:sz w:val="21"/>
                <w:szCs w:val="21"/>
                <w:lang w:eastAsia="en-GB"/>
              </w:rPr>
            </w:pPr>
          </w:p>
          <w:p w14:paraId="2FB9872E" w14:textId="06E958F1" w:rsidR="00253F84" w:rsidRDefault="00253F84" w:rsidP="00253F84">
            <w:pPr>
              <w:keepNext/>
              <w:keepLines/>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Disaggregation:</w:t>
            </w:r>
          </w:p>
          <w:p w14:paraId="7B83AD60" w14:textId="77777777" w:rsidR="00253F84" w:rsidRDefault="00253F84" w:rsidP="00253F84">
            <w:pPr>
              <w:keepNext/>
              <w:keepLines/>
              <w:shd w:val="clear" w:color="auto" w:fill="FFFFFF"/>
              <w:spacing w:after="0"/>
              <w:contextualSpacing/>
              <w:rPr>
                <w:rFonts w:eastAsia="Times New Roman" w:cs="Times New Roman"/>
                <w:color w:val="4A4A4A"/>
                <w:sz w:val="21"/>
                <w:szCs w:val="21"/>
                <w:lang w:eastAsia="en-GB"/>
              </w:rPr>
            </w:pPr>
          </w:p>
          <w:p w14:paraId="606721A7" w14:textId="4D7416D9" w:rsidR="00202B2D" w:rsidRPr="005D1328" w:rsidRDefault="00253F84" w:rsidP="00253F84">
            <w:pPr>
              <w:pStyle w:val="Default"/>
              <w:rPr>
                <w:rFonts w:asciiTheme="minorHAnsi" w:hAnsiTheme="minorHAnsi" w:cstheme="minorHAnsi"/>
                <w:sz w:val="21"/>
                <w:szCs w:val="21"/>
              </w:rPr>
            </w:pPr>
            <w:r>
              <w:rPr>
                <w:rFonts w:eastAsia="Times New Roman" w:cs="Times New Roman"/>
                <w:color w:val="4A4A4A"/>
                <w:sz w:val="21"/>
                <w:szCs w:val="21"/>
                <w:lang w:eastAsia="en-GB"/>
              </w:rPr>
              <w:t>Age, income, place of residence, geographic location, education, ethnicity (for some countries)</w:t>
            </w:r>
            <w:r>
              <w:rPr>
                <w:rFonts w:eastAsia="Times New Roman" w:cs="Times New Roman"/>
                <w:color w:val="4A4A4A"/>
                <w:sz w:val="21"/>
                <w:szCs w:val="21"/>
                <w:lang w:eastAsia="en-GB"/>
              </w:rPr>
              <w:t>.</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8" w:name="_Toc36655614"/>
            <w:bookmarkStart w:id="29" w:name="_Toc36812577"/>
            <w:bookmarkStart w:id="30" w:name="_Toc36812690"/>
            <w:bookmarkStart w:id="31" w:name="_Toc36813077"/>
            <w:bookmarkStart w:id="32"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8"/>
            <w:bookmarkEnd w:id="29"/>
            <w:bookmarkEnd w:id="30"/>
            <w:bookmarkEnd w:id="31"/>
          </w:p>
        </w:tc>
      </w:tr>
      <w:tr w:rsidR="004F4616" w:rsidRPr="004D68B6" w14:paraId="3E1135A5" w14:textId="77777777" w:rsidTr="00A0576E">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tcPr>
          <w:p w14:paraId="77597603" w14:textId="0A89F491" w:rsidR="004F4616"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A0576E">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tcPr>
          <w:p w14:paraId="5A744CD9" w14:textId="77777777" w:rsidR="003851A4" w:rsidRDefault="003851A4" w:rsidP="003851A4">
            <w:pPr>
              <w:shd w:val="clear" w:color="auto" w:fill="FFFFFF"/>
              <w:spacing w:after="0"/>
              <w:contextualSpacing/>
              <w:rPr>
                <w:rFonts w:eastAsia="Times New Roman" w:cs="Times New Roman"/>
                <w:b/>
                <w:bCs/>
                <w:color w:val="4A4A4A"/>
                <w:sz w:val="21"/>
                <w:szCs w:val="21"/>
                <w:lang w:eastAsia="en-GB"/>
              </w:rPr>
            </w:pPr>
            <w:r>
              <w:rPr>
                <w:rFonts w:eastAsia="Times New Roman" w:cs="Times New Roman"/>
                <w:b/>
                <w:bCs/>
                <w:color w:val="4A4A4A"/>
                <w:sz w:val="21"/>
                <w:szCs w:val="21"/>
                <w:lang w:eastAsia="en-GB"/>
              </w:rPr>
              <w:t>Sources of discrepancies:</w:t>
            </w:r>
          </w:p>
          <w:p w14:paraId="3AB508AF" w14:textId="77777777" w:rsidR="003851A4" w:rsidRDefault="003851A4" w:rsidP="003851A4">
            <w:pPr>
              <w:shd w:val="clear" w:color="auto" w:fill="FFFFFF"/>
              <w:spacing w:after="0"/>
              <w:contextualSpacing/>
              <w:rPr>
                <w:rFonts w:eastAsia="Times New Roman" w:cs="Times New Roman"/>
                <w:color w:val="4A4A4A"/>
                <w:sz w:val="21"/>
                <w:szCs w:val="21"/>
                <w:lang w:eastAsia="en-GB"/>
              </w:rPr>
            </w:pPr>
          </w:p>
          <w:p w14:paraId="13CF0B2D" w14:textId="14F8E9B1" w:rsidR="004F4616" w:rsidRPr="003851A4" w:rsidRDefault="003851A4" w:rsidP="003851A4">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The estimates compiled and presented at global level come directly from nationally produced data and are not adjusted or recalculated.</w:t>
            </w:r>
          </w:p>
        </w:tc>
      </w:tr>
      <w:bookmarkEnd w:id="32"/>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3" w:name="_Toc36655615"/>
            <w:bookmarkStart w:id="34" w:name="_Toc36812578"/>
            <w:bookmarkStart w:id="35" w:name="_Toc36812691"/>
            <w:bookmarkStart w:id="36" w:name="_Toc36813078"/>
            <w:r w:rsidRPr="001A0E35">
              <w:t>7. References and documentation</w:t>
            </w:r>
            <w:bookmarkEnd w:id="33"/>
            <w:bookmarkEnd w:id="34"/>
            <w:bookmarkEnd w:id="35"/>
            <w:bookmarkEnd w:id="36"/>
          </w:p>
        </w:tc>
      </w:tr>
      <w:tr w:rsidR="007B2E39" w:rsidRPr="004D68B6" w14:paraId="7EA36A92" w14:textId="77777777" w:rsidTr="00A0576E">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tcPr>
          <w:p w14:paraId="086DFD84" w14:textId="69781EBD" w:rsidR="007B2E39"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B2E39" w:rsidRPr="004D68B6" w14:paraId="79E6253E" w14:textId="77777777" w:rsidTr="00A0576E">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tcPr>
          <w:p w14:paraId="526D9FDD" w14:textId="77777777" w:rsidR="00042450" w:rsidRDefault="00042450" w:rsidP="00042450">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Pr>
                <w:rFonts w:eastAsia="Times New Roman" w:cs="Times New Roman"/>
                <w:color w:val="1C75BC"/>
                <w:sz w:val="36"/>
                <w:szCs w:val="36"/>
                <w:lang w:eastAsia="en-GB"/>
              </w:rPr>
              <w:t>References</w:t>
            </w:r>
          </w:p>
          <w:p w14:paraId="529ABB0C" w14:textId="77777777" w:rsidR="00042450" w:rsidRDefault="00042450" w:rsidP="00042450">
            <w:pPr>
              <w:shd w:val="clear" w:color="auto" w:fill="FFFFFF"/>
              <w:spacing w:after="0"/>
              <w:contextualSpacing/>
              <w:rPr>
                <w:rFonts w:eastAsia="Times New Roman" w:cs="Times New Roman"/>
                <w:b/>
                <w:bCs/>
                <w:color w:val="4A4A4A"/>
                <w:sz w:val="21"/>
                <w:szCs w:val="21"/>
                <w:lang w:eastAsia="en-GB"/>
              </w:rPr>
            </w:pPr>
          </w:p>
          <w:p w14:paraId="1506AC6E" w14:textId="77777777" w:rsidR="00042450" w:rsidRDefault="00042450" w:rsidP="00042450">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URL:</w:t>
            </w:r>
          </w:p>
          <w:p w14:paraId="3C11AF1C" w14:textId="77777777" w:rsidR="00042450" w:rsidRDefault="00042450" w:rsidP="00042450">
            <w:pPr>
              <w:shd w:val="clear" w:color="auto" w:fill="FFFFFF"/>
              <w:spacing w:after="0"/>
              <w:contextualSpacing/>
              <w:rPr>
                <w:rFonts w:eastAsia="Times New Roman" w:cs="Times New Roman"/>
                <w:color w:val="4A4A4A"/>
                <w:sz w:val="21"/>
                <w:szCs w:val="21"/>
                <w:lang w:eastAsia="en-GB"/>
              </w:rPr>
            </w:pPr>
          </w:p>
          <w:p w14:paraId="0D779307" w14:textId="77777777" w:rsidR="00042450" w:rsidRDefault="00042450" w:rsidP="00042450">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data.unicef.org</w:t>
            </w:r>
          </w:p>
          <w:p w14:paraId="3F501C74" w14:textId="77777777" w:rsidR="00042450" w:rsidRDefault="00042450" w:rsidP="00042450">
            <w:pPr>
              <w:shd w:val="clear" w:color="auto" w:fill="FFFFFF"/>
              <w:spacing w:after="0"/>
              <w:contextualSpacing/>
              <w:rPr>
                <w:rFonts w:eastAsia="Times New Roman" w:cs="Times New Roman"/>
                <w:b/>
                <w:bCs/>
                <w:color w:val="4A4A4A"/>
                <w:sz w:val="21"/>
                <w:szCs w:val="21"/>
                <w:lang w:eastAsia="en-GB"/>
              </w:rPr>
            </w:pPr>
          </w:p>
          <w:p w14:paraId="7F606EB8" w14:textId="77777777" w:rsidR="00042450" w:rsidRDefault="00042450" w:rsidP="00042450">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References:</w:t>
            </w:r>
          </w:p>
          <w:p w14:paraId="31848E38" w14:textId="77777777" w:rsidR="00042450" w:rsidRDefault="00042450" w:rsidP="00042450">
            <w:pPr>
              <w:shd w:val="clear" w:color="auto" w:fill="FFFFFF"/>
              <w:spacing w:after="0"/>
              <w:contextualSpacing/>
              <w:rPr>
                <w:rFonts w:eastAsia="Times New Roman" w:cs="Times New Roman"/>
                <w:color w:val="4A4A4A"/>
                <w:sz w:val="21"/>
                <w:szCs w:val="21"/>
                <w:lang w:eastAsia="en-GB"/>
              </w:rPr>
            </w:pPr>
          </w:p>
          <w:p w14:paraId="75668AC2" w14:textId="20F1F527" w:rsidR="007B2E39" w:rsidRPr="00042450" w:rsidRDefault="00042450" w:rsidP="00042450">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https://data.unicef.org/topic/child-protection/child-marriage/</w:t>
            </w: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9"/>
      <w:footerReference w:type="first" r:id="rId10"/>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75330"/>
    <w:multiLevelType w:val="multilevel"/>
    <w:tmpl w:val="26088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83E85"/>
    <w:multiLevelType w:val="hybridMultilevel"/>
    <w:tmpl w:val="F599886F"/>
    <w:lvl w:ilvl="0" w:tplc="FFFFFFFF">
      <w:start w:val="1"/>
      <w:numFmt w:val="ideographDigit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4"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3"/>
  </w:num>
  <w:num w:numId="4">
    <w:abstractNumId w:val="11"/>
  </w:num>
  <w:num w:numId="5">
    <w:abstractNumId w:val="19"/>
  </w:num>
  <w:num w:numId="6">
    <w:abstractNumId w:val="7"/>
  </w:num>
  <w:num w:numId="7">
    <w:abstractNumId w:val="17"/>
  </w:num>
  <w:num w:numId="8">
    <w:abstractNumId w:val="1"/>
  </w:num>
  <w:num w:numId="9">
    <w:abstractNumId w:val="16"/>
  </w:num>
  <w:num w:numId="10">
    <w:abstractNumId w:val="15"/>
  </w:num>
  <w:num w:numId="11">
    <w:abstractNumId w:val="20"/>
  </w:num>
  <w:num w:numId="12">
    <w:abstractNumId w:val="10"/>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lvlOverride w:ilvl="1"/>
    <w:lvlOverride w:ilvl="2"/>
    <w:lvlOverride w:ilvl="3"/>
    <w:lvlOverride w:ilvl="4"/>
    <w:lvlOverride w:ilvl="5"/>
    <w:lvlOverride w:ilvl="6"/>
    <w:lvlOverride w:ilvl="7"/>
    <w:lvlOverride w:ilvl="8"/>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8"/>
  </w:num>
  <w:num w:numId="18">
    <w:abstractNumId w:val="18"/>
  </w:num>
  <w:num w:numId="19">
    <w:abstractNumId w:val="2"/>
  </w:num>
  <w:num w:numId="20">
    <w:abstractNumId w:val="4"/>
  </w:num>
  <w:num w:numId="21">
    <w:abstractNumId w:val="5"/>
  </w:num>
  <w:num w:numId="22">
    <w:abstractNumId w:val="0"/>
    <w:lvlOverride w:ilvl="0"/>
    <w:lvlOverride w:ilvl="1"/>
    <w:lvlOverride w:ilvl="2"/>
    <w:lvlOverride w:ilvl="3"/>
    <w:lvlOverride w:ilvl="4"/>
    <w:lvlOverride w:ilvl="5"/>
    <w:lvlOverride w:ilvl="6"/>
    <w:lvlOverride w:ilvl="7"/>
    <w:lvlOverride w:ilvl="8"/>
  </w:num>
  <w:num w:numId="23">
    <w:abstractNumId w:val="3"/>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21B89"/>
    <w:rsid w:val="00042450"/>
    <w:rsid w:val="00042B85"/>
    <w:rsid w:val="000434EA"/>
    <w:rsid w:val="00044505"/>
    <w:rsid w:val="000639BB"/>
    <w:rsid w:val="00073907"/>
    <w:rsid w:val="00077DCF"/>
    <w:rsid w:val="00091352"/>
    <w:rsid w:val="000A24C4"/>
    <w:rsid w:val="000B2C16"/>
    <w:rsid w:val="000B6681"/>
    <w:rsid w:val="000C6D3A"/>
    <w:rsid w:val="000E1AA3"/>
    <w:rsid w:val="001034ED"/>
    <w:rsid w:val="001057AA"/>
    <w:rsid w:val="001127E6"/>
    <w:rsid w:val="0012075C"/>
    <w:rsid w:val="00120AD7"/>
    <w:rsid w:val="0013388C"/>
    <w:rsid w:val="0013577B"/>
    <w:rsid w:val="001407E0"/>
    <w:rsid w:val="00145719"/>
    <w:rsid w:val="0014660A"/>
    <w:rsid w:val="00151B76"/>
    <w:rsid w:val="00155BC5"/>
    <w:rsid w:val="001723A0"/>
    <w:rsid w:val="0018734D"/>
    <w:rsid w:val="001A0E35"/>
    <w:rsid w:val="001B1DBA"/>
    <w:rsid w:val="001C1BC2"/>
    <w:rsid w:val="001C3E19"/>
    <w:rsid w:val="001F0C55"/>
    <w:rsid w:val="001F31C6"/>
    <w:rsid w:val="00202B2D"/>
    <w:rsid w:val="002117B9"/>
    <w:rsid w:val="00211876"/>
    <w:rsid w:val="002313D6"/>
    <w:rsid w:val="00240AFC"/>
    <w:rsid w:val="00250A24"/>
    <w:rsid w:val="002525CC"/>
    <w:rsid w:val="00253F84"/>
    <w:rsid w:val="00257D67"/>
    <w:rsid w:val="00265084"/>
    <w:rsid w:val="0027379A"/>
    <w:rsid w:val="0029558C"/>
    <w:rsid w:val="002960FA"/>
    <w:rsid w:val="002A631A"/>
    <w:rsid w:val="002A6E7E"/>
    <w:rsid w:val="002C550A"/>
    <w:rsid w:val="002E449E"/>
    <w:rsid w:val="002E4E48"/>
    <w:rsid w:val="003161D6"/>
    <w:rsid w:val="00325D2B"/>
    <w:rsid w:val="00334DB3"/>
    <w:rsid w:val="00344199"/>
    <w:rsid w:val="00352386"/>
    <w:rsid w:val="003525CD"/>
    <w:rsid w:val="003700A1"/>
    <w:rsid w:val="00380958"/>
    <w:rsid w:val="003820BB"/>
    <w:rsid w:val="003851A4"/>
    <w:rsid w:val="00394ADD"/>
    <w:rsid w:val="003A176C"/>
    <w:rsid w:val="003A3746"/>
    <w:rsid w:val="003A60DA"/>
    <w:rsid w:val="003B3C76"/>
    <w:rsid w:val="003C32E3"/>
    <w:rsid w:val="003E7F33"/>
    <w:rsid w:val="00406983"/>
    <w:rsid w:val="004073A7"/>
    <w:rsid w:val="00417B9F"/>
    <w:rsid w:val="004204B0"/>
    <w:rsid w:val="004233A5"/>
    <w:rsid w:val="00430958"/>
    <w:rsid w:val="00431B0C"/>
    <w:rsid w:val="00433D18"/>
    <w:rsid w:val="004361A7"/>
    <w:rsid w:val="004502AA"/>
    <w:rsid w:val="00462DB8"/>
    <w:rsid w:val="00463306"/>
    <w:rsid w:val="004732A1"/>
    <w:rsid w:val="00490C58"/>
    <w:rsid w:val="00492A4D"/>
    <w:rsid w:val="004962C5"/>
    <w:rsid w:val="004C1C86"/>
    <w:rsid w:val="004C665C"/>
    <w:rsid w:val="004D68B6"/>
    <w:rsid w:val="004F23B5"/>
    <w:rsid w:val="004F4616"/>
    <w:rsid w:val="00500E13"/>
    <w:rsid w:val="00514CB8"/>
    <w:rsid w:val="00514E59"/>
    <w:rsid w:val="005223A2"/>
    <w:rsid w:val="00522827"/>
    <w:rsid w:val="0052362A"/>
    <w:rsid w:val="0053509F"/>
    <w:rsid w:val="005370AC"/>
    <w:rsid w:val="00537550"/>
    <w:rsid w:val="00560EB1"/>
    <w:rsid w:val="005650FC"/>
    <w:rsid w:val="00577D09"/>
    <w:rsid w:val="005803B3"/>
    <w:rsid w:val="00581C4A"/>
    <w:rsid w:val="00581D14"/>
    <w:rsid w:val="005934B1"/>
    <w:rsid w:val="005B657A"/>
    <w:rsid w:val="005C091C"/>
    <w:rsid w:val="005C3EBE"/>
    <w:rsid w:val="005C76A1"/>
    <w:rsid w:val="005D1328"/>
    <w:rsid w:val="005F7B42"/>
    <w:rsid w:val="00605AD5"/>
    <w:rsid w:val="00611159"/>
    <w:rsid w:val="00613352"/>
    <w:rsid w:val="006220A3"/>
    <w:rsid w:val="00633477"/>
    <w:rsid w:val="00643134"/>
    <w:rsid w:val="006609F0"/>
    <w:rsid w:val="0068000F"/>
    <w:rsid w:val="0068379D"/>
    <w:rsid w:val="00693674"/>
    <w:rsid w:val="006B0512"/>
    <w:rsid w:val="006B6E3B"/>
    <w:rsid w:val="006C6768"/>
    <w:rsid w:val="006D23F0"/>
    <w:rsid w:val="006F50E8"/>
    <w:rsid w:val="00704C70"/>
    <w:rsid w:val="007100BD"/>
    <w:rsid w:val="00736C4F"/>
    <w:rsid w:val="00737374"/>
    <w:rsid w:val="00741B79"/>
    <w:rsid w:val="0079591F"/>
    <w:rsid w:val="007A078A"/>
    <w:rsid w:val="007A2617"/>
    <w:rsid w:val="007A28BA"/>
    <w:rsid w:val="007B2E39"/>
    <w:rsid w:val="007C63C4"/>
    <w:rsid w:val="007E2E6A"/>
    <w:rsid w:val="007E4EE0"/>
    <w:rsid w:val="007F4449"/>
    <w:rsid w:val="00800BB8"/>
    <w:rsid w:val="00814E37"/>
    <w:rsid w:val="0083759C"/>
    <w:rsid w:val="00845688"/>
    <w:rsid w:val="00846F04"/>
    <w:rsid w:val="00854588"/>
    <w:rsid w:val="00896223"/>
    <w:rsid w:val="008A7300"/>
    <w:rsid w:val="008D1FE5"/>
    <w:rsid w:val="008D6488"/>
    <w:rsid w:val="008E6037"/>
    <w:rsid w:val="008F179C"/>
    <w:rsid w:val="0090556F"/>
    <w:rsid w:val="0091555D"/>
    <w:rsid w:val="00924458"/>
    <w:rsid w:val="0095215C"/>
    <w:rsid w:val="0095217A"/>
    <w:rsid w:val="00952376"/>
    <w:rsid w:val="00970B70"/>
    <w:rsid w:val="00971FA7"/>
    <w:rsid w:val="009739C8"/>
    <w:rsid w:val="009B7FDA"/>
    <w:rsid w:val="009D6F69"/>
    <w:rsid w:val="009E049D"/>
    <w:rsid w:val="00A0576E"/>
    <w:rsid w:val="00A167C6"/>
    <w:rsid w:val="00A31ECA"/>
    <w:rsid w:val="00A3532A"/>
    <w:rsid w:val="00A36E8B"/>
    <w:rsid w:val="00A4314D"/>
    <w:rsid w:val="00A45D0E"/>
    <w:rsid w:val="00A67357"/>
    <w:rsid w:val="00A91915"/>
    <w:rsid w:val="00A92C73"/>
    <w:rsid w:val="00AA38A9"/>
    <w:rsid w:val="00AB43BA"/>
    <w:rsid w:val="00AB65AE"/>
    <w:rsid w:val="00AE2786"/>
    <w:rsid w:val="00AE7A74"/>
    <w:rsid w:val="00AF0A41"/>
    <w:rsid w:val="00B12FAF"/>
    <w:rsid w:val="00B137EE"/>
    <w:rsid w:val="00B26EF8"/>
    <w:rsid w:val="00B27325"/>
    <w:rsid w:val="00B61457"/>
    <w:rsid w:val="00B6605A"/>
    <w:rsid w:val="00B71AEA"/>
    <w:rsid w:val="00B74489"/>
    <w:rsid w:val="00B9140F"/>
    <w:rsid w:val="00B97297"/>
    <w:rsid w:val="00BB553B"/>
    <w:rsid w:val="00BD5F6F"/>
    <w:rsid w:val="00C152FE"/>
    <w:rsid w:val="00C210B4"/>
    <w:rsid w:val="00C229A8"/>
    <w:rsid w:val="00C22A2E"/>
    <w:rsid w:val="00C22F94"/>
    <w:rsid w:val="00C35C43"/>
    <w:rsid w:val="00C605D4"/>
    <w:rsid w:val="00C67407"/>
    <w:rsid w:val="00C94E79"/>
    <w:rsid w:val="00CA6252"/>
    <w:rsid w:val="00CC5969"/>
    <w:rsid w:val="00CF504E"/>
    <w:rsid w:val="00D11228"/>
    <w:rsid w:val="00D12D35"/>
    <w:rsid w:val="00D17114"/>
    <w:rsid w:val="00D563BD"/>
    <w:rsid w:val="00D82137"/>
    <w:rsid w:val="00D855E8"/>
    <w:rsid w:val="00DA4FFC"/>
    <w:rsid w:val="00DB24B1"/>
    <w:rsid w:val="00DC4AE7"/>
    <w:rsid w:val="00DD657C"/>
    <w:rsid w:val="00DE10A6"/>
    <w:rsid w:val="00DF78A7"/>
    <w:rsid w:val="00E07A4C"/>
    <w:rsid w:val="00E07CA1"/>
    <w:rsid w:val="00E23632"/>
    <w:rsid w:val="00E44F28"/>
    <w:rsid w:val="00E51B2C"/>
    <w:rsid w:val="00E613BC"/>
    <w:rsid w:val="00E67E00"/>
    <w:rsid w:val="00E72040"/>
    <w:rsid w:val="00E74038"/>
    <w:rsid w:val="00E74F47"/>
    <w:rsid w:val="00E9591C"/>
    <w:rsid w:val="00EA6E73"/>
    <w:rsid w:val="00EC064B"/>
    <w:rsid w:val="00ED6495"/>
    <w:rsid w:val="00ED7DAE"/>
    <w:rsid w:val="00F00FDD"/>
    <w:rsid w:val="00F07040"/>
    <w:rsid w:val="00F07E48"/>
    <w:rsid w:val="00F2310E"/>
    <w:rsid w:val="00F62A16"/>
    <w:rsid w:val="00F75853"/>
    <w:rsid w:val="00F8144F"/>
    <w:rsid w:val="00F81CDD"/>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7227">
      <w:bodyDiv w:val="1"/>
      <w:marLeft w:val="0"/>
      <w:marRight w:val="0"/>
      <w:marTop w:val="0"/>
      <w:marBottom w:val="0"/>
      <w:divBdr>
        <w:top w:val="none" w:sz="0" w:space="0" w:color="auto"/>
        <w:left w:val="none" w:sz="0" w:space="0" w:color="auto"/>
        <w:bottom w:val="none" w:sz="0" w:space="0" w:color="auto"/>
        <w:right w:val="none" w:sz="0" w:space="0" w:color="auto"/>
      </w:divBdr>
    </w:div>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79329158">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87048249">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26054745">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0280337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48539663">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54592207">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46090864">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858156101">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49402677">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32497653">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54818066">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391030252">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475564255">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599295430">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799951752">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07090119">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11964621">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34777347">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041976818">
      <w:bodyDiv w:val="1"/>
      <w:marLeft w:val="0"/>
      <w:marRight w:val="0"/>
      <w:marTop w:val="0"/>
      <w:marBottom w:val="0"/>
      <w:divBdr>
        <w:top w:val="none" w:sz="0" w:space="0" w:color="auto"/>
        <w:left w:val="none" w:sz="0" w:space="0" w:color="auto"/>
        <w:bottom w:val="none" w:sz="0" w:space="0" w:color="auto"/>
        <w:right w:val="none" w:sz="0" w:space="0" w:color="auto"/>
      </w:divBdr>
    </w:div>
    <w:div w:id="2108428075">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 w:id="213320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ata.unicef.org/resources/resource-type/guida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48350-A744-4443-AE39-3AC1B398A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6</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24</cp:revision>
  <cp:lastPrinted>2020-04-10T17:02:00Z</cp:lastPrinted>
  <dcterms:created xsi:type="dcterms:W3CDTF">2020-04-14T13:38:00Z</dcterms:created>
  <dcterms:modified xsi:type="dcterms:W3CDTF">2020-04-14T14:39:00Z</dcterms:modified>
</cp:coreProperties>
</file>