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B00ABB3" w:rsidR="006D23F0" w:rsidRPr="006D23F0" w:rsidRDefault="006D23F0" w:rsidP="006D23F0">
      <w:r>
        <w:t>1</w:t>
      </w:r>
      <w:r w:rsidR="000B2C16">
        <w:t>2</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BF5649A" w:rsidR="00A36E8B" w:rsidRPr="0083444B" w:rsidRDefault="0083444B" w:rsidP="0083444B">
            <w:pPr>
              <w:pStyle w:val="Heading5"/>
              <w:shd w:val="clear" w:color="auto" w:fill="F5F5F5"/>
              <w:spacing w:before="0"/>
              <w:rPr>
                <w:rFonts w:asciiTheme="minorHAnsi" w:hAnsiTheme="minorHAnsi"/>
                <w:color w:val="333333"/>
                <w:sz w:val="21"/>
                <w:szCs w:val="21"/>
              </w:rPr>
            </w:pPr>
            <w:r w:rsidRPr="0083444B">
              <w:rPr>
                <w:rFonts w:asciiTheme="minorHAnsi" w:hAnsiTheme="minorHAnsi"/>
                <w:color w:val="333333"/>
                <w:sz w:val="21"/>
                <w:szCs w:val="21"/>
              </w:rPr>
              <w:t>Goal 8: Promote sustained, inclusive and sustainable economic growth, full and productive employment and decent work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4DCA4CD" w:rsidR="00A36E8B" w:rsidRPr="0083444B" w:rsidRDefault="0083444B" w:rsidP="0083444B">
            <w:pPr>
              <w:pStyle w:val="Heading5"/>
              <w:shd w:val="clear" w:color="auto" w:fill="F5F5F5"/>
              <w:spacing w:before="0"/>
              <w:rPr>
                <w:rFonts w:asciiTheme="minorHAnsi" w:hAnsiTheme="minorHAnsi"/>
                <w:color w:val="333333"/>
                <w:sz w:val="21"/>
                <w:szCs w:val="21"/>
              </w:rPr>
            </w:pPr>
            <w:r w:rsidRPr="0083444B">
              <w:rPr>
                <w:rFonts w:asciiTheme="minorHAnsi" w:hAnsiTheme="minorHAnsi"/>
                <w:color w:val="333333"/>
                <w:sz w:val="21"/>
                <w:szCs w:val="21"/>
              </w:rPr>
              <w:t>Target 8.10: Strengthen the capacity of domestic financial institutions to encourage and expand access to banking, insurance and financial services for all</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40521CF" w:rsidR="00A36E8B" w:rsidRPr="0083444B" w:rsidRDefault="0083444B" w:rsidP="0083444B">
            <w:pPr>
              <w:pStyle w:val="Heading2"/>
              <w:shd w:val="clear" w:color="auto" w:fill="F5F5F5"/>
              <w:spacing w:before="0"/>
              <w:rPr>
                <w:rFonts w:asciiTheme="minorHAnsi" w:hAnsiTheme="minorHAnsi"/>
                <w:color w:val="1C75BC"/>
                <w:sz w:val="24"/>
                <w:szCs w:val="24"/>
              </w:rPr>
            </w:pPr>
            <w:bookmarkStart w:id="4" w:name="_Toc455354712"/>
            <w:r w:rsidRPr="0083444B">
              <w:rPr>
                <w:rFonts w:asciiTheme="minorHAnsi" w:hAnsiTheme="minorHAnsi"/>
                <w:color w:val="1C75BC"/>
                <w:sz w:val="24"/>
                <w:szCs w:val="24"/>
              </w:rPr>
              <w:t>Indicator 8.10.2: Proportion of adults (15 years and older) with an account at a bank or other financial institution or with a mobile-money-service provider</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AEB52C7" w:rsidR="00A36E8B" w:rsidRPr="007F4449" w:rsidRDefault="0008570B" w:rsidP="0008570B">
            <w:pPr>
              <w:pStyle w:val="Header"/>
              <w:rPr>
                <w:color w:val="595959" w:themeColor="text1" w:themeTint="A6"/>
                <w:sz w:val="18"/>
                <w:szCs w:val="18"/>
              </w:rPr>
            </w:pPr>
            <w:bookmarkStart w:id="5" w:name="_Hlk532743879"/>
            <w:bookmarkStart w:id="6" w:name="_Hlk532743878"/>
            <w:bookmarkStart w:id="7" w:name="_Hlk532743721"/>
            <w:bookmarkStart w:id="8" w:name="_Hlk532743720"/>
            <w:bookmarkStart w:id="9" w:name="_Hlk532743219"/>
            <w:bookmarkStart w:id="10" w:name="_Hlk532743218"/>
            <w:bookmarkStart w:id="11" w:name="_Hlk532741982"/>
            <w:bookmarkStart w:id="12" w:name="_Hlk532741981"/>
            <w:bookmarkStart w:id="13" w:name="_Hlk532729630"/>
            <w:r>
              <w:rPr>
                <w:color w:val="595959" w:themeColor="text1" w:themeTint="A6"/>
                <w:sz w:val="18"/>
                <w:szCs w:val="18"/>
              </w:rPr>
              <w:t>Last updated: 19 July 2016</w:t>
            </w:r>
            <w:bookmarkEnd w:id="5"/>
            <w:bookmarkEnd w:id="6"/>
            <w:bookmarkEnd w:id="7"/>
            <w:bookmarkEnd w:id="8"/>
            <w:bookmarkEnd w:id="9"/>
            <w:bookmarkEnd w:id="10"/>
            <w:bookmarkEnd w:id="11"/>
            <w:bookmarkEnd w:id="12"/>
            <w:bookmarkEnd w:id="13"/>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FA20800" w14:textId="77777777" w:rsidR="00C2776F" w:rsidRPr="00C2776F" w:rsidRDefault="00C2776F" w:rsidP="00C2776F">
            <w:pPr>
              <w:pStyle w:val="Heading3"/>
              <w:pBdr>
                <w:bottom w:val="single" w:sz="12" w:space="4" w:color="DDDDDD"/>
              </w:pBdr>
              <w:shd w:val="clear" w:color="auto" w:fill="FFFFFF"/>
              <w:spacing w:before="0"/>
              <w:rPr>
                <w:rFonts w:asciiTheme="minorHAnsi" w:hAnsiTheme="minorHAnsi"/>
                <w:color w:val="1C75BC"/>
                <w:sz w:val="36"/>
                <w:szCs w:val="36"/>
              </w:rPr>
            </w:pPr>
            <w:r w:rsidRPr="00C2776F">
              <w:rPr>
                <w:rFonts w:asciiTheme="minorHAnsi" w:hAnsiTheme="minorHAnsi"/>
                <w:color w:val="1C75BC"/>
                <w:sz w:val="36"/>
                <w:szCs w:val="36"/>
              </w:rPr>
              <w:t>Related indicators</w:t>
            </w:r>
          </w:p>
          <w:p w14:paraId="5619A9DC" w14:textId="77777777" w:rsidR="00C2776F" w:rsidRDefault="00C2776F" w:rsidP="00C2776F">
            <w:pPr>
              <w:shd w:val="clear" w:color="auto" w:fill="FFFFFF"/>
              <w:spacing w:after="0"/>
              <w:rPr>
                <w:rFonts w:cs="Times New Roman"/>
                <w:color w:val="4A4A4A"/>
                <w:sz w:val="21"/>
                <w:szCs w:val="21"/>
              </w:rPr>
            </w:pPr>
          </w:p>
          <w:p w14:paraId="623BAD4B" w14:textId="309874D1" w:rsidR="00A36E8B" w:rsidRPr="00C2776F" w:rsidRDefault="00C2776F" w:rsidP="00C2776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1.4, 5.a, 2.3</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893D01E" w14:textId="77777777" w:rsidR="00107C47" w:rsidRPr="00107C47" w:rsidRDefault="00107C47" w:rsidP="00107C47">
            <w:pPr>
              <w:pStyle w:val="Heading3"/>
              <w:pBdr>
                <w:bottom w:val="single" w:sz="12" w:space="4" w:color="DDDDDD"/>
              </w:pBdr>
              <w:shd w:val="clear" w:color="auto" w:fill="FFFFFF"/>
              <w:spacing w:before="0"/>
              <w:rPr>
                <w:rFonts w:asciiTheme="minorHAnsi" w:hAnsiTheme="minorHAnsi"/>
                <w:color w:val="1C75BC"/>
                <w:sz w:val="36"/>
                <w:szCs w:val="36"/>
              </w:rPr>
            </w:pPr>
            <w:r w:rsidRPr="00107C47">
              <w:rPr>
                <w:rFonts w:asciiTheme="minorHAnsi" w:hAnsiTheme="minorHAnsi"/>
                <w:color w:val="1C75BC"/>
                <w:sz w:val="36"/>
                <w:szCs w:val="36"/>
              </w:rPr>
              <w:t>Institutional information</w:t>
            </w:r>
          </w:p>
          <w:p w14:paraId="76392228" w14:textId="77777777" w:rsidR="005E4F3D" w:rsidRDefault="005E4F3D" w:rsidP="00107C47">
            <w:pPr>
              <w:shd w:val="clear" w:color="auto" w:fill="FFFFFF"/>
              <w:spacing w:after="0"/>
              <w:rPr>
                <w:rStyle w:val="Strong"/>
                <w:rFonts w:cs="Times New Roman"/>
                <w:color w:val="4A4A4A"/>
                <w:sz w:val="21"/>
                <w:szCs w:val="21"/>
              </w:rPr>
            </w:pPr>
          </w:p>
          <w:p w14:paraId="05A20D18" w14:textId="11FC7CEE" w:rsidR="00107C47" w:rsidRDefault="00107C47" w:rsidP="00107C47">
            <w:pPr>
              <w:shd w:val="clear" w:color="auto" w:fill="FFFFFF"/>
              <w:spacing w:after="0"/>
              <w:rPr>
                <w:rStyle w:val="Strong"/>
                <w:rFonts w:cs="Times New Roman"/>
                <w:color w:val="4A4A4A"/>
                <w:sz w:val="21"/>
                <w:szCs w:val="21"/>
              </w:rPr>
            </w:pPr>
            <w:r>
              <w:rPr>
                <w:rStyle w:val="Strong"/>
                <w:rFonts w:cs="Times New Roman"/>
                <w:color w:val="4A4A4A"/>
                <w:sz w:val="21"/>
                <w:szCs w:val="21"/>
              </w:rPr>
              <w:t>Organization(s):</w:t>
            </w:r>
          </w:p>
          <w:p w14:paraId="1E5168D1" w14:textId="77777777" w:rsidR="00A60B3F" w:rsidRDefault="00A60B3F" w:rsidP="00107C47">
            <w:pPr>
              <w:shd w:val="clear" w:color="auto" w:fill="FFFFFF"/>
              <w:spacing w:after="0"/>
            </w:pPr>
          </w:p>
          <w:p w14:paraId="3E0416B7" w14:textId="08E06241" w:rsidR="00A36E8B" w:rsidRPr="00107C47" w:rsidRDefault="00107C47" w:rsidP="00107C4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4" w:name="_Toc36655609"/>
            <w:bookmarkStart w:id="15" w:name="_Toc36812572"/>
            <w:bookmarkStart w:id="16" w:name="_Toc36812685"/>
            <w:bookmarkStart w:id="17" w:name="_Toc36813072"/>
            <w:r w:rsidRPr="000149A9">
              <w:t>1. Data reporter</w:t>
            </w:r>
            <w:bookmarkEnd w:id="14"/>
            <w:bookmarkEnd w:id="15"/>
            <w:bookmarkEnd w:id="16"/>
            <w:bookmarkEnd w:id="17"/>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8" w:name="_Toc36655610"/>
            <w:bookmarkStart w:id="19" w:name="_Toc36812573"/>
            <w:bookmarkStart w:id="20" w:name="_Toc36812686"/>
            <w:bookmarkStart w:id="21" w:name="_Toc36813073"/>
            <w:r w:rsidRPr="000149A9">
              <w:t>2. Definition, concepts, and classifications</w:t>
            </w:r>
            <w:bookmarkEnd w:id="18"/>
            <w:bookmarkEnd w:id="19"/>
            <w:bookmarkEnd w:id="20"/>
            <w:bookmarkEnd w:id="2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B003B81" w14:textId="77777777" w:rsidR="005E4F3D" w:rsidRPr="005E4F3D" w:rsidRDefault="005E4F3D" w:rsidP="005E4F3D">
            <w:pPr>
              <w:pStyle w:val="Heading3"/>
              <w:pBdr>
                <w:bottom w:val="single" w:sz="12" w:space="4" w:color="DDDDDD"/>
              </w:pBdr>
              <w:shd w:val="clear" w:color="auto" w:fill="FFFFFF"/>
              <w:spacing w:before="0"/>
              <w:rPr>
                <w:rFonts w:asciiTheme="minorHAnsi" w:hAnsiTheme="minorHAnsi"/>
                <w:color w:val="1C75BC"/>
                <w:sz w:val="36"/>
                <w:szCs w:val="36"/>
              </w:rPr>
            </w:pPr>
            <w:r w:rsidRPr="005E4F3D">
              <w:rPr>
                <w:rFonts w:asciiTheme="minorHAnsi" w:hAnsiTheme="minorHAnsi"/>
                <w:color w:val="1C75BC"/>
                <w:sz w:val="36"/>
                <w:szCs w:val="36"/>
              </w:rPr>
              <w:t>Concepts and definitions</w:t>
            </w:r>
          </w:p>
          <w:p w14:paraId="32F79A2F" w14:textId="77777777" w:rsidR="005E4F3D" w:rsidRDefault="005E4F3D" w:rsidP="005E4F3D">
            <w:pPr>
              <w:shd w:val="clear" w:color="auto" w:fill="FFFFFF"/>
              <w:spacing w:after="0"/>
              <w:rPr>
                <w:rStyle w:val="Strong"/>
                <w:rFonts w:cs="Times New Roman"/>
                <w:color w:val="4A4A4A"/>
                <w:sz w:val="21"/>
                <w:szCs w:val="21"/>
              </w:rPr>
            </w:pPr>
          </w:p>
          <w:p w14:paraId="5FE2BA24" w14:textId="12EFCECF" w:rsidR="005E4F3D" w:rsidRDefault="005E4F3D" w:rsidP="005E4F3D">
            <w:pPr>
              <w:shd w:val="clear" w:color="auto" w:fill="FFFFFF"/>
              <w:spacing w:after="0"/>
              <w:rPr>
                <w:rStyle w:val="Strong"/>
                <w:rFonts w:cs="Times New Roman"/>
                <w:color w:val="4A4A4A"/>
                <w:sz w:val="21"/>
                <w:szCs w:val="21"/>
              </w:rPr>
            </w:pPr>
            <w:r>
              <w:rPr>
                <w:rStyle w:val="Strong"/>
                <w:rFonts w:cs="Times New Roman"/>
                <w:color w:val="4A4A4A"/>
                <w:sz w:val="21"/>
                <w:szCs w:val="21"/>
              </w:rPr>
              <w:t>Definition:</w:t>
            </w:r>
          </w:p>
          <w:p w14:paraId="14DD89CF" w14:textId="77777777" w:rsidR="00A60B3F" w:rsidRDefault="00A60B3F" w:rsidP="005E4F3D">
            <w:pPr>
              <w:shd w:val="clear" w:color="auto" w:fill="FFFFFF"/>
              <w:spacing w:after="0"/>
            </w:pPr>
          </w:p>
          <w:p w14:paraId="02E6B5F5" w14:textId="77777777" w:rsidR="00C152FE" w:rsidRDefault="005E4F3D" w:rsidP="005E4F3D">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percentage of adults (ages 15+) who report having an account (by themselves or together with someone else) at a bank or another type of financial institution or personally using a mobile money service in the past 12 months. </w:t>
            </w:r>
          </w:p>
          <w:p w14:paraId="74FEBD1A" w14:textId="77777777" w:rsidR="00A60B3F" w:rsidRDefault="00A60B3F" w:rsidP="005E4F3D">
            <w:pPr>
              <w:pStyle w:val="form-control-static"/>
              <w:shd w:val="clear" w:color="auto" w:fill="FFFFFF"/>
              <w:spacing w:before="0" w:beforeAutospacing="0" w:after="0" w:afterAutospacing="0"/>
              <w:rPr>
                <w:rFonts w:asciiTheme="minorHAnsi" w:hAnsiTheme="minorHAnsi"/>
                <w:color w:val="4A4A4A"/>
                <w:sz w:val="21"/>
                <w:szCs w:val="21"/>
              </w:rPr>
            </w:pPr>
          </w:p>
          <w:p w14:paraId="1F3FE803" w14:textId="77777777" w:rsidR="00A60B3F" w:rsidRDefault="00A60B3F" w:rsidP="00A60B3F">
            <w:pPr>
              <w:shd w:val="clear" w:color="auto" w:fill="FFFFFF"/>
              <w:spacing w:after="0"/>
              <w:rPr>
                <w:rFonts w:cs="Times New Roman"/>
                <w:color w:val="4A4A4A"/>
                <w:sz w:val="21"/>
                <w:szCs w:val="21"/>
              </w:rPr>
            </w:pPr>
            <w:r>
              <w:rPr>
                <w:rStyle w:val="Strong"/>
                <w:rFonts w:cs="Times New Roman"/>
                <w:color w:val="4A4A4A"/>
                <w:sz w:val="21"/>
                <w:szCs w:val="21"/>
              </w:rPr>
              <w:t>Concepts:</w:t>
            </w:r>
          </w:p>
          <w:p w14:paraId="71B483FE" w14:textId="77777777" w:rsidR="00A60B3F" w:rsidRDefault="00A60B3F" w:rsidP="00A60B3F">
            <w:pPr>
              <w:shd w:val="clear" w:color="auto" w:fill="FFFFFF"/>
              <w:spacing w:after="0"/>
              <w:rPr>
                <w:rFonts w:cs="Times New Roman"/>
                <w:color w:val="4A4A4A"/>
                <w:sz w:val="21"/>
                <w:szCs w:val="21"/>
              </w:rPr>
            </w:pPr>
          </w:p>
          <w:p w14:paraId="7DA6E8AF" w14:textId="5ECB5094" w:rsidR="00A60B3F" w:rsidRPr="005E4F3D" w:rsidRDefault="00A60B3F" w:rsidP="005E4F3D">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Account at a financial institution includes respondents who report having an account at a bank or at another type of financial institution, such as a credit union, microfinance institution, cooperative, or the post office (if applicable),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(GSMA) Mobile Money for the Unbanked (MMU) services in the past 12 months to pay bills or to send or receive money. In addition, it includes respondents who report receiving wages, government transfers, or payments for agricultural products through a mobile phone in the past 12 months.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2" w:name="_Toc36636923"/>
            <w:bookmarkStart w:id="23" w:name="_Toc36655611"/>
            <w:bookmarkStart w:id="24" w:name="_Toc36812574"/>
            <w:bookmarkStart w:id="25" w:name="_Toc36812687"/>
            <w:bookmarkStart w:id="26" w:name="_Toc36813074"/>
            <w:r w:rsidRPr="000149A9">
              <w:t>3</w:t>
            </w:r>
            <w:r w:rsidR="004C665C" w:rsidRPr="000149A9">
              <w:t>. Data source type and data collection method</w:t>
            </w:r>
            <w:bookmarkEnd w:id="22"/>
            <w:bookmarkEnd w:id="23"/>
            <w:bookmarkEnd w:id="24"/>
            <w:bookmarkEnd w:id="25"/>
            <w:bookmarkEnd w:id="26"/>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A79244B" w14:textId="77777777" w:rsidR="006E2F08" w:rsidRDefault="006E2F08" w:rsidP="006E2F08">
            <w:pPr>
              <w:pStyle w:val="Heading3"/>
              <w:pBdr>
                <w:bottom w:val="single" w:sz="12" w:space="4" w:color="DDDDDD"/>
              </w:pBdr>
              <w:shd w:val="clear" w:color="auto" w:fill="FFFFFF"/>
              <w:spacing w:before="0"/>
              <w:rPr>
                <w:rFonts w:asciiTheme="minorHAnsi" w:hAnsiTheme="minorHAnsi"/>
                <w:color w:val="1C75BC"/>
                <w:sz w:val="36"/>
                <w:szCs w:val="36"/>
              </w:rPr>
            </w:pPr>
            <w:r>
              <w:rPr>
                <w:rFonts w:asciiTheme="minorHAnsi" w:hAnsiTheme="minorHAnsi"/>
                <w:b/>
                <w:bCs/>
                <w:color w:val="1C75BC"/>
                <w:sz w:val="36"/>
                <w:szCs w:val="36"/>
              </w:rPr>
              <w:t>Data Sources</w:t>
            </w:r>
          </w:p>
          <w:p w14:paraId="447249A8" w14:textId="77777777" w:rsidR="006E2F08" w:rsidRDefault="006E2F08" w:rsidP="006E2F08">
            <w:pPr>
              <w:shd w:val="clear" w:color="auto" w:fill="FFFFFF"/>
              <w:spacing w:after="0"/>
              <w:rPr>
                <w:rStyle w:val="Strong"/>
                <w:rFonts w:cs="Times New Roman"/>
                <w:color w:val="4A4A4A"/>
                <w:sz w:val="21"/>
                <w:szCs w:val="21"/>
              </w:rPr>
            </w:pPr>
          </w:p>
          <w:p w14:paraId="6F8087E6" w14:textId="77777777" w:rsidR="006E2F08" w:rsidRDefault="006E2F08" w:rsidP="006E2F08">
            <w:pPr>
              <w:shd w:val="clear" w:color="auto" w:fill="FFFFFF"/>
              <w:spacing w:after="0"/>
            </w:pPr>
            <w:r>
              <w:rPr>
                <w:rStyle w:val="Strong"/>
                <w:rFonts w:cs="Times New Roman"/>
                <w:color w:val="4A4A4A"/>
                <w:sz w:val="21"/>
                <w:szCs w:val="21"/>
              </w:rPr>
              <w:t>Description:</w:t>
            </w:r>
          </w:p>
          <w:p w14:paraId="30EA628A" w14:textId="77777777" w:rsidR="006E2F08" w:rsidRDefault="006E2F08" w:rsidP="006E2F08">
            <w:pPr>
              <w:shd w:val="clear" w:color="auto" w:fill="FFFFFF"/>
              <w:spacing w:after="0"/>
              <w:rPr>
                <w:rFonts w:cs="Times New Roman"/>
                <w:color w:val="4A4A4A"/>
                <w:sz w:val="21"/>
                <w:szCs w:val="21"/>
              </w:rPr>
            </w:pPr>
          </w:p>
          <w:p w14:paraId="2AD315D6" w14:textId="77777777" w:rsidR="006E2F08" w:rsidRDefault="006E2F08" w:rsidP="006E2F0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indicators in the 2014 Global Financial Inclusion (Global </w:t>
            </w:r>
            <w:proofErr w:type="spellStart"/>
            <w:r>
              <w:rPr>
                <w:rFonts w:asciiTheme="minorHAnsi" w:hAnsiTheme="minorHAnsi"/>
                <w:color w:val="4A4A4A"/>
                <w:sz w:val="21"/>
                <w:szCs w:val="21"/>
              </w:rPr>
              <w:t>Findex</w:t>
            </w:r>
            <w:proofErr w:type="spellEnd"/>
            <w:r>
              <w:rPr>
                <w:rFonts w:asciiTheme="minorHAnsi" w:hAnsiTheme="minorHAnsi"/>
                <w:color w:val="4A4A4A"/>
                <w:sz w:val="21"/>
                <w:szCs w:val="21"/>
              </w:rPr>
              <w:t xml:space="preserve">)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w:t>
            </w:r>
            <w:r>
              <w:rPr>
                <w:rFonts w:asciiTheme="minorHAnsi" w:hAnsiTheme="minorHAnsi"/>
                <w:color w:val="4A4A4A"/>
                <w:sz w:val="21"/>
                <w:szCs w:val="21"/>
              </w:rPr>
              <w:lastRenderedPageBreak/>
              <w:t>more than 160 economies and in over 140 languages, using randomly selected, nationally representative samples. The target population is the entire civilian, noninstitutionalized population age 15 and above.</w:t>
            </w:r>
            <w:r>
              <w:rPr>
                <w:rStyle w:val="apple-converted-space"/>
                <w:rFonts w:asciiTheme="minorHAnsi" w:hAnsiTheme="minorHAnsi"/>
                <w:color w:val="4A4A4A"/>
                <w:sz w:val="21"/>
                <w:szCs w:val="21"/>
              </w:rPr>
              <w:t xml:space="preserve"> </w:t>
            </w:r>
          </w:p>
          <w:p w14:paraId="7EF97413" w14:textId="77777777" w:rsidR="006E2F08" w:rsidRDefault="006E2F08" w:rsidP="006E2F08">
            <w:pPr>
              <w:pStyle w:val="form-control-static"/>
              <w:shd w:val="clear" w:color="auto" w:fill="FFFFFF"/>
              <w:spacing w:before="0" w:beforeAutospacing="0" w:after="0" w:afterAutospacing="0"/>
              <w:rPr>
                <w:rFonts w:asciiTheme="minorHAnsi" w:hAnsiTheme="minorHAnsi"/>
                <w:color w:val="4A4A4A"/>
                <w:sz w:val="21"/>
                <w:szCs w:val="21"/>
              </w:rPr>
            </w:pPr>
          </w:p>
          <w:p w14:paraId="1EE62008" w14:textId="538404D9" w:rsidR="006220A3" w:rsidRPr="006E2F08" w:rsidRDefault="006E2F08" w:rsidP="006E2F0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Methodology, including interview procedures, data preparation, margin of error and notes by country are all available at </w:t>
            </w:r>
            <w:hyperlink r:id="rId8" w:history="1">
              <w:r w:rsidRPr="008668AA">
                <w:rPr>
                  <w:rStyle w:val="Hyperlink"/>
                  <w:rFonts w:asciiTheme="minorHAnsi" w:hAnsiTheme="minorHAnsi"/>
                  <w:sz w:val="21"/>
                  <w:szCs w:val="21"/>
                </w:rPr>
                <w:t>http://www.worldbank.org/content/dam/Worldbank/Research/GlobalFindex/PDF/Methodology.pdf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7345B9B" w14:textId="77777777" w:rsidR="00D221B4" w:rsidRDefault="00D221B4" w:rsidP="00D221B4">
            <w:pPr>
              <w:shd w:val="clear" w:color="auto" w:fill="FFFFFF"/>
              <w:spacing w:after="0"/>
              <w:rPr>
                <w:rFonts w:cs="Times New Roman"/>
                <w:color w:val="4A4A4A"/>
                <w:sz w:val="21"/>
                <w:szCs w:val="21"/>
              </w:rPr>
            </w:pPr>
            <w:r>
              <w:rPr>
                <w:rStyle w:val="Strong"/>
                <w:rFonts w:cs="Times New Roman"/>
                <w:color w:val="4A4A4A"/>
                <w:sz w:val="21"/>
                <w:szCs w:val="21"/>
              </w:rPr>
              <w:t>Collection process:</w:t>
            </w:r>
          </w:p>
          <w:p w14:paraId="6EAB1535" w14:textId="77777777" w:rsidR="00D221B4" w:rsidRDefault="00D221B4" w:rsidP="00D221B4">
            <w:pPr>
              <w:shd w:val="clear" w:color="auto" w:fill="FFFFFF"/>
              <w:spacing w:after="0"/>
              <w:rPr>
                <w:rFonts w:cs="Times New Roman"/>
                <w:color w:val="4A4A4A"/>
                <w:sz w:val="21"/>
                <w:szCs w:val="21"/>
              </w:rPr>
            </w:pPr>
          </w:p>
          <w:p w14:paraId="0136E6C1" w14:textId="014F8E03" w:rsidR="00AB65AE" w:rsidRP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Data are comparable across countries by design.</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76752EC4" w14:textId="77777777" w:rsidR="00F22D61" w:rsidRPr="00F22D61" w:rsidRDefault="00F22D61" w:rsidP="00F22D61">
            <w:pPr>
              <w:pStyle w:val="Heading3"/>
              <w:pBdr>
                <w:bottom w:val="single" w:sz="12" w:space="4" w:color="DDDDDD"/>
              </w:pBdr>
              <w:shd w:val="clear" w:color="auto" w:fill="FFFFFF"/>
              <w:spacing w:before="0"/>
              <w:rPr>
                <w:rFonts w:asciiTheme="minorHAnsi" w:hAnsiTheme="minorHAnsi"/>
                <w:color w:val="1C75BC"/>
                <w:sz w:val="36"/>
                <w:szCs w:val="36"/>
              </w:rPr>
            </w:pPr>
            <w:r w:rsidRPr="00F22D61">
              <w:rPr>
                <w:rFonts w:asciiTheme="minorHAnsi" w:hAnsiTheme="minorHAnsi"/>
                <w:color w:val="1C75BC"/>
                <w:sz w:val="36"/>
                <w:szCs w:val="36"/>
              </w:rPr>
              <w:t>Calendar</w:t>
            </w:r>
          </w:p>
          <w:p w14:paraId="089015B5" w14:textId="77777777" w:rsidR="00F22D61" w:rsidRDefault="00F22D61" w:rsidP="00F22D61">
            <w:pPr>
              <w:shd w:val="clear" w:color="auto" w:fill="FFFFFF"/>
              <w:spacing w:after="0"/>
              <w:rPr>
                <w:rStyle w:val="Strong"/>
                <w:rFonts w:cs="Times New Roman"/>
                <w:color w:val="4A4A4A"/>
                <w:sz w:val="21"/>
                <w:szCs w:val="21"/>
              </w:rPr>
            </w:pPr>
          </w:p>
          <w:p w14:paraId="1A9D8803" w14:textId="77777777" w:rsidR="00F22D61" w:rsidRDefault="00F22D61" w:rsidP="00F22D61">
            <w:pPr>
              <w:shd w:val="clear" w:color="auto" w:fill="FFFFFF"/>
              <w:spacing w:after="0"/>
            </w:pPr>
            <w:r>
              <w:rPr>
                <w:rStyle w:val="Strong"/>
                <w:rFonts w:cs="Times New Roman"/>
                <w:color w:val="4A4A4A"/>
                <w:sz w:val="21"/>
                <w:szCs w:val="21"/>
              </w:rPr>
              <w:t>Data collection:</w:t>
            </w:r>
          </w:p>
          <w:p w14:paraId="2877AAF7" w14:textId="77777777" w:rsidR="00F22D61" w:rsidRDefault="00F22D61" w:rsidP="00F22D61">
            <w:pPr>
              <w:shd w:val="clear" w:color="auto" w:fill="FFFFFF"/>
              <w:spacing w:after="0"/>
              <w:rPr>
                <w:rFonts w:cs="Times New Roman"/>
                <w:color w:val="4A4A4A"/>
                <w:sz w:val="21"/>
                <w:szCs w:val="21"/>
              </w:rPr>
            </w:pPr>
          </w:p>
          <w:p w14:paraId="5805C371" w14:textId="18633EF3" w:rsidR="00AB65AE" w:rsidRPr="00F22D61" w:rsidRDefault="00F22D61" w:rsidP="00F22D61">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Next collection round: 2017. Data are collected every three years.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203D168E" w14:textId="77777777" w:rsidR="0087481C" w:rsidRDefault="0087481C" w:rsidP="0087481C">
            <w:pPr>
              <w:shd w:val="clear" w:color="auto" w:fill="FFFFFF"/>
              <w:spacing w:after="0"/>
              <w:rPr>
                <w:rFonts w:cs="Times New Roman"/>
                <w:color w:val="4A4A4A"/>
                <w:sz w:val="21"/>
                <w:szCs w:val="21"/>
              </w:rPr>
            </w:pPr>
            <w:r>
              <w:rPr>
                <w:rStyle w:val="Strong"/>
                <w:rFonts w:cs="Times New Roman"/>
                <w:color w:val="4A4A4A"/>
                <w:sz w:val="21"/>
                <w:szCs w:val="21"/>
              </w:rPr>
              <w:t>Data release:</w:t>
            </w:r>
          </w:p>
          <w:p w14:paraId="62970679" w14:textId="77777777" w:rsidR="0087481C" w:rsidRDefault="0087481C" w:rsidP="0087481C">
            <w:pPr>
              <w:shd w:val="clear" w:color="auto" w:fill="FFFFFF"/>
              <w:spacing w:after="0"/>
              <w:rPr>
                <w:rFonts w:cs="Times New Roman"/>
                <w:color w:val="4A4A4A"/>
                <w:sz w:val="21"/>
                <w:szCs w:val="21"/>
              </w:rPr>
            </w:pPr>
          </w:p>
          <w:p w14:paraId="097FA4BD" w14:textId="1A072059" w:rsidR="00AB65AE" w:rsidRPr="0087481C" w:rsidRDefault="0087481C" w:rsidP="0087481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7C7E363D" w14:textId="77777777" w:rsidR="0087481C" w:rsidRPr="0087481C" w:rsidRDefault="0087481C" w:rsidP="0087481C">
            <w:pPr>
              <w:pStyle w:val="Heading3"/>
              <w:pBdr>
                <w:bottom w:val="single" w:sz="12" w:space="4" w:color="DDDDDD"/>
              </w:pBdr>
              <w:shd w:val="clear" w:color="auto" w:fill="FFFFFF"/>
              <w:spacing w:before="0"/>
              <w:rPr>
                <w:rFonts w:asciiTheme="minorHAnsi" w:hAnsiTheme="minorHAnsi"/>
                <w:color w:val="1C75BC"/>
                <w:sz w:val="36"/>
                <w:szCs w:val="36"/>
              </w:rPr>
            </w:pPr>
            <w:r w:rsidRPr="0087481C">
              <w:rPr>
                <w:rFonts w:asciiTheme="minorHAnsi" w:hAnsiTheme="minorHAnsi"/>
                <w:color w:val="1C75BC"/>
                <w:sz w:val="36"/>
                <w:szCs w:val="36"/>
              </w:rPr>
              <w:t>Data providers</w:t>
            </w:r>
          </w:p>
          <w:p w14:paraId="10F3C19E" w14:textId="77777777" w:rsidR="0087481C" w:rsidRDefault="0087481C" w:rsidP="0087481C">
            <w:pPr>
              <w:shd w:val="clear" w:color="auto" w:fill="FFFFFF"/>
              <w:spacing w:after="0"/>
              <w:rPr>
                <w:rFonts w:cs="Times New Roman"/>
                <w:color w:val="4A4A4A"/>
                <w:sz w:val="21"/>
                <w:szCs w:val="21"/>
              </w:rPr>
            </w:pPr>
          </w:p>
          <w:p w14:paraId="406AF515" w14:textId="717A1481" w:rsidR="00AB65AE" w:rsidRPr="0087481C" w:rsidRDefault="0087481C" w:rsidP="0087481C">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n/a</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24D142C7" w14:textId="77777777" w:rsidR="0087481C" w:rsidRPr="0087481C" w:rsidRDefault="0087481C" w:rsidP="0087481C">
            <w:pPr>
              <w:pStyle w:val="Heading3"/>
              <w:pBdr>
                <w:bottom w:val="single" w:sz="12" w:space="4" w:color="DDDDDD"/>
              </w:pBdr>
              <w:shd w:val="clear" w:color="auto" w:fill="FFFFFF"/>
              <w:spacing w:before="0"/>
              <w:rPr>
                <w:rFonts w:asciiTheme="minorHAnsi" w:hAnsiTheme="minorHAnsi"/>
                <w:color w:val="1C75BC"/>
                <w:sz w:val="36"/>
                <w:szCs w:val="36"/>
              </w:rPr>
            </w:pPr>
            <w:r w:rsidRPr="0087481C">
              <w:rPr>
                <w:rFonts w:asciiTheme="minorHAnsi" w:hAnsiTheme="minorHAnsi"/>
                <w:color w:val="1C75BC"/>
                <w:sz w:val="36"/>
                <w:szCs w:val="36"/>
              </w:rPr>
              <w:t>Data compilers</w:t>
            </w:r>
          </w:p>
          <w:p w14:paraId="0AFBA430" w14:textId="77777777" w:rsidR="0087481C" w:rsidRDefault="0087481C" w:rsidP="0087481C">
            <w:pPr>
              <w:shd w:val="clear" w:color="auto" w:fill="FFFFFF"/>
              <w:spacing w:after="0"/>
              <w:rPr>
                <w:rStyle w:val="Strong"/>
                <w:rFonts w:cs="Times New Roman"/>
                <w:color w:val="4A4A4A"/>
                <w:sz w:val="21"/>
                <w:szCs w:val="21"/>
              </w:rPr>
            </w:pPr>
          </w:p>
          <w:p w14:paraId="39191C53" w14:textId="203CADC1" w:rsidR="00AB65AE" w:rsidRPr="0087481C" w:rsidRDefault="0087481C" w:rsidP="0087481C">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7" w:name="_Toc36655612"/>
            <w:bookmarkStart w:id="28" w:name="_Toc36812575"/>
            <w:bookmarkStart w:id="29" w:name="_Toc36812688"/>
            <w:bookmarkStart w:id="30" w:name="_Toc36813075"/>
            <w:r w:rsidRPr="007A28BA">
              <w:t>4</w:t>
            </w:r>
            <w:r w:rsidR="00F96E8D" w:rsidRPr="007A28BA">
              <w:t>. Other methodological considerations</w:t>
            </w:r>
            <w:bookmarkEnd w:id="27"/>
            <w:bookmarkEnd w:id="28"/>
            <w:bookmarkEnd w:id="29"/>
            <w:bookmarkEnd w:id="30"/>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826E9B" w14:textId="77777777" w:rsidR="00A60B3F" w:rsidRDefault="00A60B3F" w:rsidP="00A60B3F">
            <w:pPr>
              <w:shd w:val="clear" w:color="auto" w:fill="FFFFFF"/>
              <w:spacing w:after="0"/>
              <w:rPr>
                <w:rFonts w:cs="Times New Roman"/>
                <w:color w:val="4A4A4A"/>
                <w:sz w:val="21"/>
                <w:szCs w:val="21"/>
              </w:rPr>
            </w:pPr>
            <w:r>
              <w:rPr>
                <w:rStyle w:val="Strong"/>
                <w:rFonts w:cs="Times New Roman"/>
                <w:color w:val="4A4A4A"/>
                <w:sz w:val="21"/>
                <w:szCs w:val="21"/>
              </w:rPr>
              <w:t>Rationale:</w:t>
            </w:r>
          </w:p>
          <w:p w14:paraId="1AD9D733" w14:textId="77777777" w:rsidR="00A60B3F" w:rsidRDefault="00A60B3F" w:rsidP="00A60B3F">
            <w:pPr>
              <w:shd w:val="clear" w:color="auto" w:fill="FFFFFF"/>
              <w:spacing w:after="0"/>
              <w:rPr>
                <w:rFonts w:cs="Times New Roman"/>
                <w:color w:val="4A4A4A"/>
                <w:sz w:val="21"/>
                <w:szCs w:val="21"/>
              </w:rPr>
            </w:pPr>
          </w:p>
          <w:p w14:paraId="6F5859B0" w14:textId="32217D6B" w:rsidR="007C63C4" w:rsidRPr="003A60DA" w:rsidRDefault="00A60B3F" w:rsidP="00A60B3F">
            <w:pPr>
              <w:pStyle w:val="MText"/>
            </w:pPr>
            <w:r>
              <w:t xml:space="preserve">Access to formal financial services such as savings, insurance, payments, credit and remittances is essential to the ability of people—regardless of income level, gender, age, education or where they live—to manage their lives, build their futures, and grow their businesses. Having access to an account is an important starting point for people to access </w:t>
            </w:r>
            <w:proofErr w:type="spellStart"/>
            <w:r>
              <w:t>arange</w:t>
            </w:r>
            <w:proofErr w:type="spellEnd"/>
            <w:r>
              <w:t xml:space="preserve"> of financial services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F47C46B" w14:textId="77777777" w:rsidR="00AD6059" w:rsidRDefault="00AD6059" w:rsidP="00AD6059">
            <w:pPr>
              <w:shd w:val="clear" w:color="auto" w:fill="FFFFFF"/>
              <w:spacing w:after="0"/>
              <w:rPr>
                <w:rFonts w:cs="Times New Roman"/>
                <w:color w:val="4A4A4A"/>
                <w:sz w:val="21"/>
                <w:szCs w:val="21"/>
              </w:rPr>
            </w:pPr>
            <w:r>
              <w:rPr>
                <w:rStyle w:val="Strong"/>
                <w:rFonts w:cs="Times New Roman"/>
                <w:color w:val="4A4A4A"/>
                <w:sz w:val="21"/>
                <w:szCs w:val="21"/>
              </w:rPr>
              <w:t>Comments and limitations:</w:t>
            </w:r>
          </w:p>
          <w:p w14:paraId="5F4734AE" w14:textId="77777777" w:rsidR="00AD6059" w:rsidRDefault="00AD6059" w:rsidP="00AD6059">
            <w:pPr>
              <w:shd w:val="clear" w:color="auto" w:fill="FFFFFF"/>
              <w:spacing w:after="0"/>
              <w:rPr>
                <w:rFonts w:cs="Times New Roman"/>
                <w:color w:val="4A4A4A"/>
                <w:sz w:val="21"/>
                <w:szCs w:val="21"/>
              </w:rPr>
            </w:pPr>
          </w:p>
          <w:p w14:paraId="328C0885" w14:textId="61325DCD" w:rsidR="007C63C4" w:rsidRPr="00AD6059" w:rsidRDefault="00AD6059" w:rsidP="00AD6059">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World Bank’s Global </w:t>
            </w:r>
            <w:proofErr w:type="spellStart"/>
            <w:r>
              <w:rPr>
                <w:rFonts w:asciiTheme="minorHAnsi" w:hAnsiTheme="minorHAnsi"/>
                <w:color w:val="4A4A4A"/>
                <w:sz w:val="21"/>
                <w:szCs w:val="21"/>
              </w:rPr>
              <w:t>Findex</w:t>
            </w:r>
            <w:proofErr w:type="spellEnd"/>
            <w:r>
              <w:rPr>
                <w:rFonts w:asciiTheme="minorHAnsi" w:hAnsiTheme="minorHAnsi"/>
                <w:color w:val="4A4A4A"/>
                <w:sz w:val="21"/>
                <w:szCs w:val="21"/>
              </w:rPr>
              <w:t xml:space="preserve"> database is based on individual level surveys worldwide, conducted every three years. The first round of the survey was done in 2011, and the second in 2014. The third round will be done in 2017. The database covers about 140 countries.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3126D30" w14:textId="77777777" w:rsidR="001141A4" w:rsidRPr="00A22A33" w:rsidRDefault="001141A4" w:rsidP="001141A4">
            <w:pPr>
              <w:pStyle w:val="Heading3"/>
              <w:pBdr>
                <w:bottom w:val="single" w:sz="12" w:space="4" w:color="DDDDDD"/>
              </w:pBdr>
              <w:shd w:val="clear" w:color="auto" w:fill="FFFFFF"/>
              <w:spacing w:before="0"/>
              <w:rPr>
                <w:rFonts w:asciiTheme="minorHAnsi" w:hAnsiTheme="minorHAnsi"/>
                <w:color w:val="1C75BC"/>
                <w:sz w:val="36"/>
                <w:szCs w:val="36"/>
              </w:rPr>
            </w:pPr>
            <w:r w:rsidRPr="00A22A33">
              <w:rPr>
                <w:rFonts w:asciiTheme="minorHAnsi" w:hAnsiTheme="minorHAnsi"/>
                <w:color w:val="1C75BC"/>
                <w:sz w:val="36"/>
                <w:szCs w:val="36"/>
              </w:rPr>
              <w:t>Methodology</w:t>
            </w:r>
          </w:p>
          <w:p w14:paraId="14F38782" w14:textId="77777777" w:rsidR="001141A4" w:rsidRDefault="001141A4" w:rsidP="001141A4">
            <w:pPr>
              <w:shd w:val="clear" w:color="auto" w:fill="FFFFFF"/>
              <w:spacing w:after="0"/>
              <w:rPr>
                <w:rStyle w:val="Strong"/>
                <w:rFonts w:cs="Times New Roman"/>
                <w:color w:val="4A4A4A"/>
                <w:sz w:val="21"/>
                <w:szCs w:val="21"/>
              </w:rPr>
            </w:pPr>
          </w:p>
          <w:p w14:paraId="5DA23B20" w14:textId="77777777" w:rsidR="001141A4" w:rsidRDefault="001141A4" w:rsidP="001141A4">
            <w:pPr>
              <w:shd w:val="clear" w:color="auto" w:fill="FFFFFF"/>
              <w:spacing w:after="0"/>
            </w:pPr>
            <w:r>
              <w:rPr>
                <w:rStyle w:val="Strong"/>
                <w:rFonts w:cs="Times New Roman"/>
                <w:color w:val="4A4A4A"/>
                <w:sz w:val="21"/>
                <w:szCs w:val="21"/>
              </w:rPr>
              <w:t>Computation Method:</w:t>
            </w:r>
          </w:p>
          <w:p w14:paraId="33C31D9B" w14:textId="77777777" w:rsidR="001141A4" w:rsidRDefault="001141A4" w:rsidP="001141A4">
            <w:pPr>
              <w:shd w:val="clear" w:color="auto" w:fill="FFFFFF"/>
              <w:spacing w:after="0"/>
              <w:rPr>
                <w:rFonts w:cs="Times New Roman"/>
                <w:color w:val="4A4A4A"/>
                <w:sz w:val="21"/>
                <w:szCs w:val="21"/>
              </w:rPr>
            </w:pPr>
          </w:p>
          <w:p w14:paraId="14D79041" w14:textId="58374AB6" w:rsidR="007C63C4" w:rsidRPr="001141A4" w:rsidRDefault="001141A4" w:rsidP="001141A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indicator is based on data collected through individual level surveys in each country with representative samples. Appropriate sampling weights are used in calculating country-level aggregates.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0328947" w14:textId="77777777" w:rsidR="008D0FA3" w:rsidRDefault="008D0FA3" w:rsidP="008D0FA3">
            <w:pPr>
              <w:shd w:val="clear" w:color="auto" w:fill="FFFFFF"/>
              <w:spacing w:after="0"/>
              <w:rPr>
                <w:rFonts w:cs="Times New Roman"/>
                <w:color w:val="4A4A4A"/>
                <w:sz w:val="21"/>
                <w:szCs w:val="21"/>
              </w:rPr>
            </w:pPr>
            <w:r>
              <w:rPr>
                <w:rStyle w:val="Strong"/>
                <w:rFonts w:cs="Times New Roman"/>
                <w:color w:val="4A4A4A"/>
                <w:sz w:val="21"/>
                <w:szCs w:val="21"/>
              </w:rPr>
              <w:t>Treatment of missing values:</w:t>
            </w:r>
          </w:p>
          <w:p w14:paraId="3DC957D6" w14:textId="77777777" w:rsidR="008D0FA3" w:rsidRDefault="008D0FA3" w:rsidP="008D0FA3">
            <w:pPr>
              <w:shd w:val="clear" w:color="auto" w:fill="FFFFFF"/>
              <w:spacing w:after="0"/>
              <w:rPr>
                <w:rFonts w:cs="Times New Roman"/>
                <w:color w:val="4A4A4A"/>
                <w:sz w:val="21"/>
                <w:szCs w:val="21"/>
              </w:rPr>
            </w:pPr>
          </w:p>
          <w:p w14:paraId="703B8DEC" w14:textId="77777777" w:rsidR="008D0FA3" w:rsidRDefault="008D0FA3" w:rsidP="00884CC3">
            <w:pPr>
              <w:pStyle w:val="Heading5"/>
              <w:keepNext w:val="0"/>
              <w:keepLines w:val="0"/>
              <w:numPr>
                <w:ilvl w:val="0"/>
                <w:numId w:val="12"/>
              </w:numPr>
              <w:shd w:val="clear" w:color="auto" w:fill="FFFFFF"/>
              <w:tabs>
                <w:tab w:val="clear" w:pos="720"/>
                <w:tab w:val="num" w:pos="640"/>
              </w:tabs>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37C08721" w14:textId="77777777" w:rsidR="008D0FA3" w:rsidRDefault="008D0FA3" w:rsidP="00884CC3">
            <w:pPr>
              <w:pStyle w:val="NormalWeb"/>
              <w:shd w:val="clear" w:color="auto" w:fill="FFFFFF"/>
              <w:tabs>
                <w:tab w:val="num" w:pos="640"/>
              </w:tabs>
              <w:spacing w:before="0" w:beforeAutospacing="0" w:after="0" w:afterAutospacing="0"/>
              <w:ind w:left="360"/>
              <w:rPr>
                <w:rFonts w:asciiTheme="minorHAnsi" w:hAnsiTheme="minorHAnsi"/>
                <w:color w:val="4A4A4A"/>
                <w:sz w:val="21"/>
                <w:szCs w:val="21"/>
              </w:rPr>
            </w:pPr>
          </w:p>
          <w:p w14:paraId="700CC225" w14:textId="77777777" w:rsidR="008D0FA3" w:rsidRDefault="008D0FA3" w:rsidP="00884CC3">
            <w:pPr>
              <w:pStyle w:val="NormalWeb"/>
              <w:shd w:val="clear" w:color="auto" w:fill="FFFFFF"/>
              <w:tabs>
                <w:tab w:val="num" w:pos="640"/>
              </w:tabs>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n/a</w:t>
            </w:r>
          </w:p>
          <w:p w14:paraId="3480F862" w14:textId="77777777" w:rsidR="008D0FA3" w:rsidRDefault="008D0FA3" w:rsidP="00884CC3">
            <w:pPr>
              <w:pStyle w:val="NormalWeb"/>
              <w:shd w:val="clear" w:color="auto" w:fill="FFFFFF"/>
              <w:tabs>
                <w:tab w:val="num" w:pos="640"/>
              </w:tabs>
              <w:spacing w:before="0" w:beforeAutospacing="0" w:after="0" w:afterAutospacing="0"/>
              <w:ind w:left="360"/>
              <w:rPr>
                <w:rFonts w:asciiTheme="minorHAnsi" w:hAnsiTheme="minorHAnsi"/>
                <w:color w:val="4A4A4A"/>
                <w:sz w:val="21"/>
                <w:szCs w:val="21"/>
              </w:rPr>
            </w:pPr>
          </w:p>
          <w:p w14:paraId="52C593A7" w14:textId="77777777" w:rsidR="008D0FA3" w:rsidRDefault="008D0FA3" w:rsidP="00884CC3">
            <w:pPr>
              <w:pStyle w:val="Heading5"/>
              <w:keepNext w:val="0"/>
              <w:keepLines w:val="0"/>
              <w:numPr>
                <w:ilvl w:val="0"/>
                <w:numId w:val="12"/>
              </w:numPr>
              <w:shd w:val="clear" w:color="auto" w:fill="FFFFFF"/>
              <w:tabs>
                <w:tab w:val="clear" w:pos="720"/>
                <w:tab w:val="num" w:pos="640"/>
              </w:tabs>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p>
          <w:p w14:paraId="00BE5586" w14:textId="77777777" w:rsidR="008D0FA3" w:rsidRDefault="008D0FA3" w:rsidP="00884CC3">
            <w:pPr>
              <w:pStyle w:val="NormalWeb"/>
              <w:shd w:val="clear" w:color="auto" w:fill="FFFFFF"/>
              <w:tabs>
                <w:tab w:val="num" w:pos="640"/>
              </w:tabs>
              <w:spacing w:before="0" w:beforeAutospacing="0" w:after="0" w:afterAutospacing="0"/>
              <w:ind w:left="360"/>
              <w:rPr>
                <w:rFonts w:asciiTheme="minorHAnsi" w:hAnsiTheme="minorHAnsi"/>
                <w:color w:val="4A4A4A"/>
                <w:sz w:val="21"/>
                <w:szCs w:val="21"/>
              </w:rPr>
            </w:pPr>
          </w:p>
          <w:p w14:paraId="11763FCE" w14:textId="709F0CA2" w:rsidR="007C63C4" w:rsidRPr="008D0FA3" w:rsidRDefault="008D0FA3" w:rsidP="00884CC3">
            <w:pPr>
              <w:pStyle w:val="NormalWeb"/>
              <w:shd w:val="clear" w:color="auto" w:fill="FFFFFF"/>
              <w:tabs>
                <w:tab w:val="num" w:pos="640"/>
              </w:tabs>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650A18A" w14:textId="77777777" w:rsidR="00884CC3" w:rsidRDefault="00884CC3" w:rsidP="00884CC3">
            <w:pPr>
              <w:shd w:val="clear" w:color="auto" w:fill="FFFFFF"/>
              <w:spacing w:after="0"/>
              <w:rPr>
                <w:rFonts w:cs="Times New Roman"/>
                <w:color w:val="4A4A4A"/>
                <w:sz w:val="21"/>
                <w:szCs w:val="21"/>
              </w:rPr>
            </w:pPr>
            <w:r>
              <w:rPr>
                <w:rStyle w:val="Strong"/>
                <w:rFonts w:cs="Times New Roman"/>
                <w:color w:val="4A4A4A"/>
                <w:sz w:val="21"/>
                <w:szCs w:val="21"/>
              </w:rPr>
              <w:t>Regional aggregates:</w:t>
            </w:r>
          </w:p>
          <w:p w14:paraId="3E521B4D" w14:textId="77777777" w:rsidR="00884CC3" w:rsidRDefault="00884CC3" w:rsidP="00884CC3">
            <w:pPr>
              <w:shd w:val="clear" w:color="auto" w:fill="FFFFFF"/>
              <w:spacing w:after="0"/>
              <w:rPr>
                <w:rFonts w:cs="Times New Roman"/>
                <w:color w:val="4A4A4A"/>
                <w:sz w:val="21"/>
                <w:szCs w:val="21"/>
              </w:rPr>
            </w:pPr>
          </w:p>
          <w:p w14:paraId="6E65421B" w14:textId="7D68C091" w:rsidR="007C63C4" w:rsidRPr="005934B1" w:rsidRDefault="00884CC3" w:rsidP="00884CC3">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Country level; the percentage of adults owning accounts is multiplied by the number of adults in the country. Then for regional values, sum across all countries in the region is taken and divided by the total adults living in the region. Similarly, for global figures, the same calculation is repeated for all countries.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1" w:name="_Toc36655613"/>
            <w:bookmarkStart w:id="32" w:name="_Toc36812576"/>
            <w:bookmarkStart w:id="33" w:name="_Toc36812689"/>
            <w:bookmarkStart w:id="34" w:name="_Toc36813076"/>
            <w:r w:rsidRPr="001A0E35">
              <w:t>5</w:t>
            </w:r>
            <w:r w:rsidR="00952376" w:rsidRPr="001A0E35">
              <w:t>. Data availability and disaggregation</w:t>
            </w:r>
            <w:bookmarkEnd w:id="31"/>
            <w:bookmarkEnd w:id="32"/>
            <w:bookmarkEnd w:id="33"/>
            <w:bookmarkEnd w:id="34"/>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0DF97C9C"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2626315" w14:textId="77777777" w:rsidR="00D221B4" w:rsidRPr="00D221B4" w:rsidRDefault="00D221B4" w:rsidP="00D221B4">
            <w:pPr>
              <w:pStyle w:val="Heading3"/>
              <w:pBdr>
                <w:bottom w:val="single" w:sz="12" w:space="4" w:color="DDDDDD"/>
              </w:pBdr>
              <w:shd w:val="clear" w:color="auto" w:fill="FFFFFF"/>
              <w:spacing w:before="0"/>
              <w:rPr>
                <w:rFonts w:asciiTheme="minorHAnsi" w:hAnsiTheme="minorHAnsi"/>
                <w:color w:val="1C75BC"/>
                <w:sz w:val="36"/>
                <w:szCs w:val="36"/>
              </w:rPr>
            </w:pPr>
            <w:r w:rsidRPr="00D221B4">
              <w:rPr>
                <w:rFonts w:asciiTheme="minorHAnsi" w:hAnsiTheme="minorHAnsi"/>
                <w:color w:val="1C75BC"/>
                <w:sz w:val="36"/>
                <w:szCs w:val="36"/>
              </w:rPr>
              <w:t>Data Availability</w:t>
            </w:r>
          </w:p>
          <w:p w14:paraId="43800587" w14:textId="77777777" w:rsidR="00D221B4" w:rsidRDefault="00D221B4" w:rsidP="00D221B4">
            <w:pPr>
              <w:shd w:val="clear" w:color="auto" w:fill="FFFFFF"/>
              <w:spacing w:after="0"/>
              <w:rPr>
                <w:rStyle w:val="Strong"/>
                <w:rFonts w:cs="Times New Roman"/>
                <w:color w:val="4A4A4A"/>
                <w:sz w:val="21"/>
                <w:szCs w:val="21"/>
              </w:rPr>
            </w:pPr>
          </w:p>
          <w:p w14:paraId="2160F146" w14:textId="77777777" w:rsidR="00D221B4" w:rsidRDefault="00D221B4" w:rsidP="00D221B4">
            <w:pPr>
              <w:shd w:val="clear" w:color="auto" w:fill="FFFFFF"/>
              <w:spacing w:after="0"/>
            </w:pPr>
            <w:r>
              <w:rPr>
                <w:rStyle w:val="Strong"/>
                <w:rFonts w:cs="Times New Roman"/>
                <w:color w:val="4A4A4A"/>
                <w:sz w:val="21"/>
                <w:szCs w:val="21"/>
              </w:rPr>
              <w:t>Description:</w:t>
            </w:r>
          </w:p>
          <w:p w14:paraId="1F14CD1E" w14:textId="77777777" w:rsidR="00D221B4" w:rsidRDefault="00D221B4" w:rsidP="00D221B4">
            <w:pPr>
              <w:shd w:val="clear" w:color="auto" w:fill="FFFFFF"/>
              <w:spacing w:after="0"/>
              <w:rPr>
                <w:rFonts w:cs="Times New Roman"/>
                <w:color w:val="4A4A4A"/>
                <w:sz w:val="21"/>
                <w:szCs w:val="21"/>
              </w:rPr>
            </w:pPr>
          </w:p>
          <w:p w14:paraId="7C0DC4B2"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Countries that have at least 1 data point after 2010 for this indicator:</w:t>
            </w:r>
          </w:p>
          <w:p w14:paraId="373FE7D6"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p>
          <w:p w14:paraId="29ADCA4B"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Asia and Pacific: 35</w:t>
            </w:r>
          </w:p>
          <w:p w14:paraId="0B367904"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Africa: 38</w:t>
            </w:r>
            <w:r>
              <w:rPr>
                <w:rStyle w:val="apple-converted-space"/>
                <w:rFonts w:asciiTheme="minorHAnsi" w:hAnsiTheme="minorHAnsi"/>
                <w:color w:val="4A4A4A"/>
                <w:sz w:val="21"/>
                <w:szCs w:val="21"/>
              </w:rPr>
              <w:t xml:space="preserve"> </w:t>
            </w:r>
          </w:p>
          <w:p w14:paraId="43CD32CB"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Latin America and the Caribbean: 21</w:t>
            </w:r>
          </w:p>
          <w:p w14:paraId="32227342"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Europe, North America, Australia, New Zealand and Japan: 47</w:t>
            </w:r>
          </w:p>
          <w:p w14:paraId="6EAC78D3" w14:textId="77777777" w:rsidR="00D221B4" w:rsidRDefault="00D221B4" w:rsidP="00D221B4">
            <w:pPr>
              <w:shd w:val="clear" w:color="auto" w:fill="FFFFFF"/>
              <w:spacing w:after="0"/>
              <w:rPr>
                <w:rStyle w:val="Strong"/>
                <w:rFonts w:cs="Times New Roman"/>
              </w:rPr>
            </w:pPr>
          </w:p>
          <w:p w14:paraId="69A42C4A" w14:textId="77777777" w:rsidR="00D221B4" w:rsidRDefault="00D221B4" w:rsidP="00D221B4">
            <w:pPr>
              <w:shd w:val="clear" w:color="auto" w:fill="FFFFFF"/>
              <w:spacing w:after="0"/>
            </w:pPr>
            <w:r>
              <w:rPr>
                <w:rStyle w:val="Strong"/>
                <w:rFonts w:cs="Times New Roman"/>
                <w:color w:val="4A4A4A"/>
                <w:sz w:val="21"/>
                <w:szCs w:val="21"/>
              </w:rPr>
              <w:t>Time series:</w:t>
            </w:r>
          </w:p>
          <w:p w14:paraId="5A43F39D" w14:textId="77777777" w:rsidR="00D221B4" w:rsidRDefault="00D221B4" w:rsidP="00D221B4">
            <w:pPr>
              <w:shd w:val="clear" w:color="auto" w:fill="FFFFFF"/>
              <w:spacing w:after="0"/>
              <w:rPr>
                <w:rFonts w:cs="Times New Roman"/>
                <w:color w:val="4A4A4A"/>
                <w:sz w:val="21"/>
                <w:szCs w:val="21"/>
              </w:rPr>
            </w:pPr>
          </w:p>
          <w:p w14:paraId="7BE5BAFA" w14:textId="77777777" w:rsidR="00D221B4" w:rsidRDefault="00D221B4" w:rsidP="00D221B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2011 and 2014. To be collected every 3 years.</w:t>
            </w:r>
          </w:p>
          <w:p w14:paraId="3BA0B901" w14:textId="77777777" w:rsidR="00D221B4" w:rsidRDefault="00D221B4" w:rsidP="00C44D92">
            <w:pPr>
              <w:shd w:val="clear" w:color="auto" w:fill="FFFFFF"/>
              <w:spacing w:after="0"/>
              <w:rPr>
                <w:rStyle w:val="Strong"/>
                <w:rFonts w:cs="Times New Roman"/>
              </w:rPr>
            </w:pPr>
          </w:p>
          <w:p w14:paraId="5C609DB5" w14:textId="1B0F78F9" w:rsidR="00C44D92" w:rsidRDefault="00C44D92" w:rsidP="00C44D92">
            <w:pPr>
              <w:shd w:val="clear" w:color="auto" w:fill="FFFFFF"/>
              <w:spacing w:after="0"/>
              <w:rPr>
                <w:rFonts w:cs="Times New Roman"/>
                <w:color w:val="4A4A4A"/>
                <w:sz w:val="21"/>
                <w:szCs w:val="21"/>
              </w:rPr>
            </w:pPr>
            <w:r>
              <w:rPr>
                <w:rStyle w:val="Strong"/>
                <w:rFonts w:cs="Times New Roman"/>
                <w:color w:val="4A4A4A"/>
                <w:sz w:val="21"/>
                <w:szCs w:val="21"/>
              </w:rPr>
              <w:t>Disaggregation:</w:t>
            </w:r>
          </w:p>
          <w:p w14:paraId="018F0046" w14:textId="77777777" w:rsidR="00C44D92" w:rsidRDefault="00C44D92" w:rsidP="00C44D92">
            <w:pPr>
              <w:shd w:val="clear" w:color="auto" w:fill="FFFFFF"/>
              <w:spacing w:after="0"/>
              <w:rPr>
                <w:rFonts w:cs="Times New Roman"/>
                <w:color w:val="4A4A4A"/>
                <w:sz w:val="21"/>
                <w:szCs w:val="21"/>
              </w:rPr>
            </w:pPr>
          </w:p>
          <w:p w14:paraId="606721A7" w14:textId="0EF95333" w:rsidR="00202B2D" w:rsidRPr="00C44D92" w:rsidRDefault="00C44D92" w:rsidP="00C44D92">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Disaggregation by</w:t>
            </w:r>
            <w:r>
              <w:rPr>
                <w:rStyle w:val="apple-converted-space"/>
                <w:rFonts w:asciiTheme="minorHAnsi" w:hAnsiTheme="minorHAnsi"/>
                <w:color w:val="4A4A4A"/>
                <w:sz w:val="21"/>
                <w:szCs w:val="21"/>
              </w:rPr>
              <w:t xml:space="preserve"> </w:t>
            </w:r>
            <w:r>
              <w:rPr>
                <w:rFonts w:asciiTheme="minorHAnsi" w:hAnsiTheme="minorHAnsi"/>
                <w:color w:val="4A4A4A"/>
                <w:sz w:val="21"/>
                <w:szCs w:val="21"/>
              </w:rPr>
              <w:t>Income; Age; Education level; Urban/rural; Gender</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5" w:name="_Toc36655614"/>
            <w:bookmarkStart w:id="36" w:name="_Toc36812577"/>
            <w:bookmarkStart w:id="37" w:name="_Toc36812690"/>
            <w:bookmarkStart w:id="38" w:name="_Toc36813077"/>
            <w:bookmarkStart w:id="39"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5"/>
            <w:bookmarkEnd w:id="36"/>
            <w:bookmarkEnd w:id="37"/>
            <w:bookmarkEnd w:id="3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2F554591"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C43BC0E" w14:textId="77777777" w:rsidR="00C20AB8" w:rsidRDefault="00C20AB8" w:rsidP="00C20AB8">
            <w:pPr>
              <w:shd w:val="clear" w:color="auto" w:fill="FFFFFF"/>
              <w:spacing w:after="0"/>
              <w:rPr>
                <w:rFonts w:cs="Times New Roman"/>
                <w:color w:val="4A4A4A"/>
                <w:sz w:val="21"/>
                <w:szCs w:val="21"/>
              </w:rPr>
            </w:pPr>
            <w:r>
              <w:rPr>
                <w:rStyle w:val="Strong"/>
                <w:rFonts w:cs="Times New Roman"/>
                <w:color w:val="4A4A4A"/>
                <w:sz w:val="21"/>
                <w:szCs w:val="21"/>
              </w:rPr>
              <w:t>Sources of discrepancies:</w:t>
            </w:r>
          </w:p>
          <w:p w14:paraId="3D923DE0" w14:textId="77777777" w:rsidR="00C20AB8" w:rsidRDefault="00C20AB8" w:rsidP="00C20AB8">
            <w:pPr>
              <w:shd w:val="clear" w:color="auto" w:fill="FFFFFF"/>
              <w:spacing w:after="0"/>
              <w:rPr>
                <w:rFonts w:cs="Times New Roman"/>
                <w:color w:val="4A4A4A"/>
                <w:sz w:val="21"/>
                <w:szCs w:val="21"/>
              </w:rPr>
            </w:pPr>
          </w:p>
          <w:p w14:paraId="13CF0B2D" w14:textId="543A3B3A" w:rsidR="004F4616" w:rsidRPr="00C20AB8" w:rsidRDefault="00C20AB8" w:rsidP="00C20AB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Global </w:t>
            </w:r>
            <w:proofErr w:type="spellStart"/>
            <w:r>
              <w:rPr>
                <w:rFonts w:asciiTheme="minorHAnsi" w:hAnsiTheme="minorHAnsi"/>
                <w:color w:val="4A4A4A"/>
                <w:sz w:val="21"/>
                <w:szCs w:val="21"/>
              </w:rPr>
              <w:t>Findex</w:t>
            </w:r>
            <w:proofErr w:type="spellEnd"/>
            <w:r>
              <w:rPr>
                <w:rFonts w:asciiTheme="minorHAnsi" w:hAnsiTheme="minorHAnsi"/>
                <w:color w:val="4A4A4A"/>
                <w:sz w:val="21"/>
                <w:szCs w:val="21"/>
              </w:rPr>
              <w:t xml:space="preserve">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p>
        </w:tc>
      </w:tr>
      <w:bookmarkEnd w:id="39"/>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0" w:name="_Toc36655615"/>
            <w:bookmarkStart w:id="41" w:name="_Toc36812578"/>
            <w:bookmarkStart w:id="42" w:name="_Toc36812691"/>
            <w:bookmarkStart w:id="43" w:name="_Toc36813078"/>
            <w:r w:rsidRPr="001A0E35">
              <w:t>7. References and documentation</w:t>
            </w:r>
            <w:bookmarkEnd w:id="40"/>
            <w:bookmarkEnd w:id="41"/>
            <w:bookmarkEnd w:id="42"/>
            <w:bookmarkEnd w:id="4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7985B62"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72A9A45" w14:textId="77777777" w:rsidR="0087481C" w:rsidRPr="0087481C" w:rsidRDefault="00155BC5" w:rsidP="0087481C">
            <w:pPr>
              <w:pStyle w:val="Heading3"/>
              <w:pBdr>
                <w:bottom w:val="single" w:sz="12" w:space="4" w:color="DDDDDD"/>
              </w:pBdr>
              <w:shd w:val="clear" w:color="auto" w:fill="FFFFFF"/>
              <w:spacing w:before="0"/>
              <w:rPr>
                <w:rFonts w:asciiTheme="minorHAnsi" w:hAnsiTheme="minorHAnsi"/>
                <w:color w:val="1C75BC"/>
                <w:sz w:val="36"/>
                <w:szCs w:val="36"/>
              </w:rPr>
            </w:pPr>
            <w:r>
              <w:rPr>
                <w:rFonts w:eastAsia="Times New Roman" w:cstheme="minorHAnsi"/>
                <w:color w:val="404040" w:themeColor="text1" w:themeTint="BF"/>
                <w:sz w:val="21"/>
                <w:szCs w:val="21"/>
                <w:u w:val="single"/>
                <w:lang w:eastAsia="en-GB"/>
              </w:rPr>
              <w:t xml:space="preserve"> </w:t>
            </w:r>
            <w:r w:rsidR="0087481C" w:rsidRPr="0087481C">
              <w:rPr>
                <w:rFonts w:asciiTheme="minorHAnsi" w:hAnsiTheme="minorHAnsi"/>
                <w:color w:val="1C75BC"/>
                <w:sz w:val="36"/>
                <w:szCs w:val="36"/>
              </w:rPr>
              <w:t>References</w:t>
            </w:r>
          </w:p>
          <w:p w14:paraId="486D1678" w14:textId="77777777" w:rsidR="0087481C" w:rsidRDefault="0087481C" w:rsidP="0087481C">
            <w:pPr>
              <w:shd w:val="clear" w:color="auto" w:fill="FFFFFF"/>
              <w:spacing w:after="0"/>
              <w:rPr>
                <w:rStyle w:val="Strong"/>
                <w:rFonts w:cs="Times New Roman"/>
                <w:color w:val="4A4A4A"/>
                <w:sz w:val="21"/>
                <w:szCs w:val="21"/>
              </w:rPr>
            </w:pPr>
          </w:p>
          <w:p w14:paraId="1C03C56C" w14:textId="77777777" w:rsidR="0087481C" w:rsidRDefault="0087481C" w:rsidP="0087481C">
            <w:pPr>
              <w:shd w:val="clear" w:color="auto" w:fill="FFFFFF"/>
              <w:spacing w:after="0"/>
            </w:pPr>
            <w:r>
              <w:rPr>
                <w:rStyle w:val="Strong"/>
                <w:rFonts w:cs="Times New Roman"/>
                <w:color w:val="4A4A4A"/>
                <w:sz w:val="21"/>
                <w:szCs w:val="21"/>
              </w:rPr>
              <w:t>URL:</w:t>
            </w:r>
          </w:p>
          <w:p w14:paraId="57B9932E" w14:textId="77777777" w:rsidR="0087481C" w:rsidRDefault="0087481C" w:rsidP="0087481C">
            <w:pPr>
              <w:shd w:val="clear" w:color="auto" w:fill="FFFFFF"/>
              <w:spacing w:after="0"/>
              <w:rPr>
                <w:rFonts w:cs="Times New Roman"/>
                <w:color w:val="4A4A4A"/>
                <w:sz w:val="21"/>
                <w:szCs w:val="21"/>
              </w:rPr>
            </w:pPr>
          </w:p>
          <w:p w14:paraId="0550287A" w14:textId="700CFA89" w:rsidR="0087481C" w:rsidRDefault="008668AA" w:rsidP="0087481C">
            <w:pPr>
              <w:pStyle w:val="form-control-static"/>
              <w:shd w:val="clear" w:color="auto" w:fill="FFFFFF"/>
              <w:spacing w:before="0" w:beforeAutospacing="0" w:after="0" w:afterAutospacing="0"/>
              <w:rPr>
                <w:rFonts w:asciiTheme="minorHAnsi" w:hAnsiTheme="minorHAnsi"/>
                <w:color w:val="4A4A4A"/>
                <w:sz w:val="21"/>
                <w:szCs w:val="21"/>
              </w:rPr>
            </w:pPr>
            <w:hyperlink r:id="rId9" w:history="1">
              <w:r w:rsidR="0087481C" w:rsidRPr="008668AA">
                <w:rPr>
                  <w:rStyle w:val="Hyperlink"/>
                  <w:rFonts w:asciiTheme="minorHAnsi" w:hAnsiTheme="minorHAnsi"/>
                  <w:sz w:val="21"/>
                  <w:szCs w:val="21"/>
                </w:rPr>
                <w:t>www.worldbank.org</w:t>
              </w:r>
            </w:hyperlink>
          </w:p>
          <w:p w14:paraId="6F2D7ED9" w14:textId="77777777" w:rsidR="0087481C" w:rsidRDefault="0087481C" w:rsidP="0087481C">
            <w:pPr>
              <w:pStyle w:val="form-control-static"/>
              <w:shd w:val="clear" w:color="auto" w:fill="FFFFFF"/>
              <w:spacing w:before="0" w:beforeAutospacing="0" w:after="0" w:afterAutospacing="0"/>
              <w:rPr>
                <w:rFonts w:asciiTheme="minorHAnsi" w:hAnsiTheme="minorHAnsi"/>
                <w:color w:val="4A4A4A"/>
                <w:sz w:val="21"/>
                <w:szCs w:val="21"/>
              </w:rPr>
            </w:pPr>
            <w:bookmarkStart w:id="44" w:name="_GoBack"/>
            <w:bookmarkEnd w:id="44"/>
          </w:p>
          <w:p w14:paraId="3F684351" w14:textId="77777777" w:rsidR="0087481C" w:rsidRDefault="0087481C" w:rsidP="0087481C">
            <w:pPr>
              <w:keepNext/>
              <w:keepLines/>
              <w:shd w:val="clear" w:color="auto" w:fill="FFFFFF"/>
              <w:spacing w:after="0"/>
              <w:rPr>
                <w:rFonts w:cs="Times New Roman"/>
                <w:color w:val="4A4A4A"/>
                <w:sz w:val="21"/>
                <w:szCs w:val="21"/>
              </w:rPr>
            </w:pPr>
            <w:r>
              <w:rPr>
                <w:rStyle w:val="Strong"/>
                <w:rFonts w:cs="Times New Roman"/>
                <w:color w:val="4A4A4A"/>
                <w:sz w:val="21"/>
                <w:szCs w:val="21"/>
              </w:rPr>
              <w:lastRenderedPageBreak/>
              <w:t>References:</w:t>
            </w:r>
          </w:p>
          <w:p w14:paraId="1DEB5744" w14:textId="77777777" w:rsidR="0087481C" w:rsidRDefault="0087481C" w:rsidP="0087481C">
            <w:pPr>
              <w:keepNext/>
              <w:keepLines/>
              <w:shd w:val="clear" w:color="auto" w:fill="FFFFFF"/>
              <w:spacing w:after="0"/>
              <w:rPr>
                <w:rFonts w:cs="Times New Roman"/>
                <w:color w:val="4A4A4A"/>
                <w:sz w:val="21"/>
                <w:szCs w:val="21"/>
              </w:rPr>
            </w:pPr>
          </w:p>
          <w:p w14:paraId="584F0E06" w14:textId="0DE66B91" w:rsidR="00155BC5" w:rsidRPr="0087481C" w:rsidRDefault="008668AA" w:rsidP="0087481C">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10" w:history="1">
              <w:r w:rsidR="0087481C" w:rsidRPr="008668AA">
                <w:rPr>
                  <w:rStyle w:val="Hyperlink"/>
                  <w:rFonts w:asciiTheme="minorHAnsi" w:hAnsiTheme="minorHAnsi"/>
                  <w:sz w:val="21"/>
                  <w:szCs w:val="21"/>
                </w:rPr>
                <w:t>http://www.worldbank.org/globalfindex</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E73E0"/>
    <w:multiLevelType w:val="multilevel"/>
    <w:tmpl w:val="538C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8570B"/>
    <w:rsid w:val="00091352"/>
    <w:rsid w:val="000A24C4"/>
    <w:rsid w:val="000B2C16"/>
    <w:rsid w:val="000B6681"/>
    <w:rsid w:val="000C6D3A"/>
    <w:rsid w:val="000E1AA3"/>
    <w:rsid w:val="001034ED"/>
    <w:rsid w:val="00107C47"/>
    <w:rsid w:val="001127E6"/>
    <w:rsid w:val="001141A4"/>
    <w:rsid w:val="0012075C"/>
    <w:rsid w:val="0013388C"/>
    <w:rsid w:val="0014660A"/>
    <w:rsid w:val="00151B76"/>
    <w:rsid w:val="00155BC5"/>
    <w:rsid w:val="0018734D"/>
    <w:rsid w:val="001A0E35"/>
    <w:rsid w:val="001C1BC2"/>
    <w:rsid w:val="001C3E19"/>
    <w:rsid w:val="001F0C55"/>
    <w:rsid w:val="001F31C6"/>
    <w:rsid w:val="00202B2D"/>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E4F3D"/>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E2F08"/>
    <w:rsid w:val="006F50E8"/>
    <w:rsid w:val="007100BD"/>
    <w:rsid w:val="00736C4F"/>
    <w:rsid w:val="0079591F"/>
    <w:rsid w:val="007A078A"/>
    <w:rsid w:val="007A2617"/>
    <w:rsid w:val="007A28BA"/>
    <w:rsid w:val="007B2E39"/>
    <w:rsid w:val="007C63C4"/>
    <w:rsid w:val="007E2E6A"/>
    <w:rsid w:val="007E4EE0"/>
    <w:rsid w:val="007F4449"/>
    <w:rsid w:val="00814E37"/>
    <w:rsid w:val="0083444B"/>
    <w:rsid w:val="0083759C"/>
    <w:rsid w:val="008668AA"/>
    <w:rsid w:val="0087481C"/>
    <w:rsid w:val="00884CC3"/>
    <w:rsid w:val="008A7300"/>
    <w:rsid w:val="008D0FA3"/>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22A33"/>
    <w:rsid w:val="00A31ECA"/>
    <w:rsid w:val="00A3532A"/>
    <w:rsid w:val="00A36E8B"/>
    <w:rsid w:val="00A4314D"/>
    <w:rsid w:val="00A60B3F"/>
    <w:rsid w:val="00A67357"/>
    <w:rsid w:val="00A91915"/>
    <w:rsid w:val="00A92C73"/>
    <w:rsid w:val="00A93552"/>
    <w:rsid w:val="00AA38A9"/>
    <w:rsid w:val="00AB65AE"/>
    <w:rsid w:val="00AD6059"/>
    <w:rsid w:val="00AE7A74"/>
    <w:rsid w:val="00AF0A41"/>
    <w:rsid w:val="00B137EE"/>
    <w:rsid w:val="00B26EF8"/>
    <w:rsid w:val="00B27325"/>
    <w:rsid w:val="00B71AEA"/>
    <w:rsid w:val="00B74489"/>
    <w:rsid w:val="00B97297"/>
    <w:rsid w:val="00BB553B"/>
    <w:rsid w:val="00C152FE"/>
    <w:rsid w:val="00C20AB8"/>
    <w:rsid w:val="00C210B4"/>
    <w:rsid w:val="00C229A8"/>
    <w:rsid w:val="00C22A2E"/>
    <w:rsid w:val="00C2776F"/>
    <w:rsid w:val="00C35C43"/>
    <w:rsid w:val="00C44D92"/>
    <w:rsid w:val="00C605D4"/>
    <w:rsid w:val="00C67407"/>
    <w:rsid w:val="00C94E79"/>
    <w:rsid w:val="00CA6252"/>
    <w:rsid w:val="00CC5969"/>
    <w:rsid w:val="00CF504E"/>
    <w:rsid w:val="00D12D35"/>
    <w:rsid w:val="00D17114"/>
    <w:rsid w:val="00D221B4"/>
    <w:rsid w:val="00D563BD"/>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6E73"/>
    <w:rsid w:val="00EC064B"/>
    <w:rsid w:val="00F00FDD"/>
    <w:rsid w:val="00F07040"/>
    <w:rsid w:val="00F22D61"/>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3850897">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397092019">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8915477">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06039788">
      <w:bodyDiv w:val="1"/>
      <w:marLeft w:val="0"/>
      <w:marRight w:val="0"/>
      <w:marTop w:val="0"/>
      <w:marBottom w:val="0"/>
      <w:divBdr>
        <w:top w:val="none" w:sz="0" w:space="0" w:color="auto"/>
        <w:left w:val="none" w:sz="0" w:space="0" w:color="auto"/>
        <w:bottom w:val="none" w:sz="0" w:space="0" w:color="auto"/>
        <w:right w:val="none" w:sz="0" w:space="0" w:color="auto"/>
      </w:divBdr>
    </w:div>
    <w:div w:id="608857907">
      <w:bodyDiv w:val="1"/>
      <w:marLeft w:val="0"/>
      <w:marRight w:val="0"/>
      <w:marTop w:val="0"/>
      <w:marBottom w:val="0"/>
      <w:divBdr>
        <w:top w:val="none" w:sz="0" w:space="0" w:color="auto"/>
        <w:left w:val="none" w:sz="0" w:space="0" w:color="auto"/>
        <w:bottom w:val="none" w:sz="0" w:space="0" w:color="auto"/>
        <w:right w:val="none" w:sz="0" w:space="0" w:color="auto"/>
      </w:divBdr>
    </w:div>
    <w:div w:id="60951495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8832855">
      <w:bodyDiv w:val="1"/>
      <w:marLeft w:val="0"/>
      <w:marRight w:val="0"/>
      <w:marTop w:val="0"/>
      <w:marBottom w:val="0"/>
      <w:divBdr>
        <w:top w:val="none" w:sz="0" w:space="0" w:color="auto"/>
        <w:left w:val="none" w:sz="0" w:space="0" w:color="auto"/>
        <w:bottom w:val="none" w:sz="0" w:space="0" w:color="auto"/>
        <w:right w:val="none" w:sz="0" w:space="0" w:color="auto"/>
      </w:divBdr>
    </w:div>
    <w:div w:id="904411442">
      <w:bodyDiv w:val="1"/>
      <w:marLeft w:val="0"/>
      <w:marRight w:val="0"/>
      <w:marTop w:val="0"/>
      <w:marBottom w:val="0"/>
      <w:divBdr>
        <w:top w:val="none" w:sz="0" w:space="0" w:color="auto"/>
        <w:left w:val="none" w:sz="0" w:space="0" w:color="auto"/>
        <w:bottom w:val="none" w:sz="0" w:space="0" w:color="auto"/>
        <w:right w:val="none" w:sz="0" w:space="0" w:color="auto"/>
      </w:divBdr>
    </w:div>
    <w:div w:id="920287411">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16595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97864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04043903">
      <w:bodyDiv w:val="1"/>
      <w:marLeft w:val="0"/>
      <w:marRight w:val="0"/>
      <w:marTop w:val="0"/>
      <w:marBottom w:val="0"/>
      <w:divBdr>
        <w:top w:val="none" w:sz="0" w:space="0" w:color="auto"/>
        <w:left w:val="none" w:sz="0" w:space="0" w:color="auto"/>
        <w:bottom w:val="none" w:sz="0" w:space="0" w:color="auto"/>
        <w:right w:val="none" w:sz="0" w:space="0" w:color="auto"/>
      </w:divBdr>
    </w:div>
    <w:div w:id="1321423810">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8814422">
      <w:bodyDiv w:val="1"/>
      <w:marLeft w:val="0"/>
      <w:marRight w:val="0"/>
      <w:marTop w:val="0"/>
      <w:marBottom w:val="0"/>
      <w:divBdr>
        <w:top w:val="none" w:sz="0" w:space="0" w:color="auto"/>
        <w:left w:val="none" w:sz="0" w:space="0" w:color="auto"/>
        <w:bottom w:val="none" w:sz="0" w:space="0" w:color="auto"/>
        <w:right w:val="none" w:sz="0" w:space="0" w:color="auto"/>
      </w:divBdr>
    </w:div>
    <w:div w:id="1536654505">
      <w:bodyDiv w:val="1"/>
      <w:marLeft w:val="0"/>
      <w:marRight w:val="0"/>
      <w:marTop w:val="0"/>
      <w:marBottom w:val="0"/>
      <w:divBdr>
        <w:top w:val="none" w:sz="0" w:space="0" w:color="auto"/>
        <w:left w:val="none" w:sz="0" w:space="0" w:color="auto"/>
        <w:bottom w:val="none" w:sz="0" w:space="0" w:color="auto"/>
        <w:right w:val="none" w:sz="0" w:space="0" w:color="auto"/>
      </w:divBdr>
    </w:div>
    <w:div w:id="15496091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27938217">
      <w:bodyDiv w:val="1"/>
      <w:marLeft w:val="0"/>
      <w:marRight w:val="0"/>
      <w:marTop w:val="0"/>
      <w:marBottom w:val="0"/>
      <w:divBdr>
        <w:top w:val="none" w:sz="0" w:space="0" w:color="auto"/>
        <w:left w:val="none" w:sz="0" w:space="0" w:color="auto"/>
        <w:bottom w:val="none" w:sz="0" w:space="0" w:color="auto"/>
        <w:right w:val="none" w:sz="0" w:space="0" w:color="auto"/>
      </w:divBdr>
    </w:div>
    <w:div w:id="1869484213">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3074989">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51026966">
      <w:bodyDiv w:val="1"/>
      <w:marLeft w:val="0"/>
      <w:marRight w:val="0"/>
      <w:marTop w:val="0"/>
      <w:marBottom w:val="0"/>
      <w:divBdr>
        <w:top w:val="none" w:sz="0" w:space="0" w:color="auto"/>
        <w:left w:val="none" w:sz="0" w:space="0" w:color="auto"/>
        <w:bottom w:val="none" w:sz="0" w:space="0" w:color="auto"/>
        <w:right w:val="none" w:sz="0" w:space="0" w:color="auto"/>
      </w:divBdr>
    </w:div>
    <w:div w:id="2078897284">
      <w:bodyDiv w:val="1"/>
      <w:marLeft w:val="0"/>
      <w:marRight w:val="0"/>
      <w:marTop w:val="0"/>
      <w:marBottom w:val="0"/>
      <w:divBdr>
        <w:top w:val="none" w:sz="0" w:space="0" w:color="auto"/>
        <w:left w:val="none" w:sz="0" w:space="0" w:color="auto"/>
        <w:bottom w:val="none" w:sz="0" w:space="0" w:color="auto"/>
        <w:right w:val="none" w:sz="0" w:space="0" w:color="auto"/>
      </w:divBdr>
    </w:div>
    <w:div w:id="21042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content/dam/Worldbank/Research/GlobalFindex/PDF/Methodology.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worldbank.org/globalfindex" TargetMode="Externa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5E79C-548B-468C-8108-6CABE79B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20</cp:revision>
  <cp:lastPrinted>2020-04-10T17:02:00Z</cp:lastPrinted>
  <dcterms:created xsi:type="dcterms:W3CDTF">2020-04-13T02:36:00Z</dcterms:created>
  <dcterms:modified xsi:type="dcterms:W3CDTF">2020-04-13T03:03:00Z</dcterms:modified>
</cp:coreProperties>
</file>