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货币资金（C）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货币资金（索引号:C）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22.7秒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货币资金期末余额账实相符，银行函证全部回函且金额一致。</w:t>
      </w:r>
    </w:p>
    <w:p>
      <w:pPr>
        <w:pStyle w:val="ListNumber"/>
      </w:pPr>
      <w:r>
        <w:t>2. 利息测算与账面记录无差异，截止性测试未见异常。</w:t>
      </w:r>
    </w:p>
    <w:p>
      <w:pPr>
        <w:pStyle w:val="ListNumber"/>
      </w:pPr>
      <w:r>
        <w:t>3. 银行余额调节表存在大额未达账项，需进一步核查其具体构成及期后到账情况。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银行未达账项</w:t>
            </w:r>
          </w:p>
        </w:tc>
        <w:tc>
          <w:tcPr>
            <w:tcW w:type="dxa" w:w="2160"/>
          </w:tcPr>
          <w:p>
            <w:r>
              <w:t>6,094,300.00</w:t>
            </w:r>
          </w:p>
        </w:tc>
        <w:tc>
          <w:tcPr>
            <w:tcW w:type="dxa" w:w="2160"/>
          </w:tcPr>
          <w:p>
            <w:r>
              <w:t>银行对账单余额6,094,300元，未达账项金额重大，远超重要性水平，需核实是否存在错报或舞弊风险。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C-1 货币资金审定表: 期末余额较期初增加97.5万元，变动率12%，未见异常波动，各科目余额可以确认。</w:t>
      </w:r>
    </w:p>
    <w:p>
      <w:r>
        <w:t>C-2 货币资金明细表: 各账户账面余额与对账单余额核对一致，未发现差异。</w:t>
      </w:r>
    </w:p>
    <w:p>
      <w:r>
        <w:t>C-3 现金监盘表: 现金盘点金额与账面库存现金余额一致，未见盘盈盘亏情况。</w:t>
      </w:r>
    </w:p>
    <w:p>
      <w:r>
        <w:t>C-4 银行余额调节表检查: 银行对账单余额609.43万元，存在大额未达账项，需进一步核实其性质及期后结算情况。</w:t>
      </w:r>
    </w:p>
    <w:p>
      <w:r>
        <w:t>C-5 银行函证汇总表: 所有银行账户均已回函且金额相符，回函率100%，函证程序有效。</w:t>
      </w:r>
    </w:p>
    <w:p>
      <w:r>
        <w:t>C-6 大额双向核对表: 抽查的大额收付款项均与银行对账单记录一致，未发现异常。</w:t>
      </w:r>
    </w:p>
    <w:p>
      <w:r>
        <w:t>C-7 银行存款利息测算表: 利息测算结果与账面记录一致，差异为零，利息收入确认准确。</w:t>
      </w:r>
    </w:p>
    <w:p>
      <w:r>
        <w:t>C-8 截止测试表: 资产负债表日前后的货币资金收支已正确记录于适当期间，未发现截止性错误。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货币资金期末余额9,105,000元，较期初增加975,000元，整体变动率12%。银行函证回函率100%，账账、账实核对一致，利息测算无差异。但存在大额银行未达账项6,094,300元，需关注其性质及期后结算情况。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D:\audit-agent\demo_outputs\重庆蛮先进智能制造有限公司_20241231_20260517_092949.xlsx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