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/>
        </w:rPr>
        <w:t>审计日志 - 应收票据（D）</w:t>
      </w:r>
    </w:p>
    <w:p>
      <w:pPr>
        <w:pStyle w:val="Heading1"/>
      </w:pPr>
      <w:r>
        <w:rPr>
          <w:rFonts w:ascii="微软雅黑" w:hAnsi="微软雅黑"/>
        </w:rPr>
        <w:t>审计基本信息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被审计单位</w:t>
            </w:r>
          </w:p>
        </w:tc>
        <w:tc>
          <w:tcPr>
            <w:tcW w:type="dxa" w:w="4320"/>
          </w:tcPr>
          <w:p>
            <w:r>
              <w:t>重庆蛮先进智能制造有限公司</w:t>
            </w:r>
          </w:p>
        </w:tc>
      </w:tr>
      <w:tr>
        <w:tc>
          <w:tcPr>
            <w:tcW w:type="dxa" w:w="4320"/>
          </w:tcPr>
          <w:p>
            <w:r>
              <w:t>审计科目</w:t>
            </w:r>
          </w:p>
        </w:tc>
        <w:tc>
          <w:tcPr>
            <w:tcW w:type="dxa" w:w="4320"/>
          </w:tcPr>
          <w:p>
            <w:r>
              <w:t>应收票据（索引号:D）</w:t>
            </w:r>
          </w:p>
        </w:tc>
      </w:tr>
      <w:tr>
        <w:tc>
          <w:tcPr>
            <w:tcW w:type="dxa" w:w="4320"/>
          </w:tcPr>
          <w:p>
            <w:r>
              <w:t>会计期间</w:t>
            </w:r>
          </w:p>
        </w:tc>
        <w:tc>
          <w:tcPr>
            <w:tcW w:type="dxa" w:w="4320"/>
          </w:tcPr>
          <w:p>
            <w:r>
              <w:t>2024-12-31</w:t>
            </w:r>
          </w:p>
        </w:tc>
      </w:tr>
      <w:tr>
        <w:tc>
          <w:tcPr>
            <w:tcW w:type="dxa" w:w="4320"/>
          </w:tcPr>
          <w:p>
            <w:r>
              <w:t>审核员</w:t>
            </w:r>
          </w:p>
        </w:tc>
        <w:tc>
          <w:tcPr>
            <w:tcW w:type="dxa" w:w="4320"/>
          </w:tcPr>
          <w:p>
            <w:r>
              <w:t>AI审计智能体</w:t>
            </w:r>
          </w:p>
        </w:tc>
      </w:tr>
      <w:tr>
        <w:tc>
          <w:tcPr>
            <w:tcW w:type="dxa" w:w="4320"/>
          </w:tcPr>
          <w:p>
            <w:r>
              <w:t>事务所</w:t>
            </w:r>
          </w:p>
        </w:tc>
        <w:tc>
          <w:tcPr>
            <w:tcW w:type="dxa" w:w="4320"/>
          </w:tcPr>
          <w:p>
            <w:r>
              <w:t>XX会计师事务所</w:t>
            </w:r>
          </w:p>
        </w:tc>
      </w:tr>
      <w:tr>
        <w:tc>
          <w:tcPr>
            <w:tcW w:type="dxa" w:w="4320"/>
          </w:tcPr>
          <w:p>
            <w:r>
              <w:t>审计日期</w:t>
            </w:r>
          </w:p>
        </w:tc>
        <w:tc>
          <w:tcPr>
            <w:tcW w:type="dxa" w:w="4320"/>
          </w:tcPr>
          <w:p>
            <w:r>
              <w:t>2026-05-17</w:t>
            </w:r>
          </w:p>
        </w:tc>
      </w:tr>
      <w:tr>
        <w:tc>
          <w:tcPr>
            <w:tcW w:type="dxa" w:w="4320"/>
          </w:tcPr>
          <w:p>
            <w:r>
              <w:t>总耗时</w:t>
            </w:r>
          </w:p>
        </w:tc>
        <w:tc>
          <w:tcPr>
            <w:tcW w:type="dxa" w:w="4320"/>
          </w:tcPr>
          <w:p>
            <w:r>
              <w:t>29.3秒</w:t>
            </w:r>
          </w:p>
        </w:tc>
      </w:tr>
    </w:tbl>
    <w:p/>
    <w:p>
      <w:pPr>
        <w:pStyle w:val="Heading1"/>
      </w:pPr>
      <w:r>
        <w:rPr>
          <w:rFonts w:ascii="微软雅黑" w:hAnsi="微软雅黑"/>
        </w:rPr>
        <w:t>审计发现</w:t>
      </w:r>
    </w:p>
    <w:p>
      <w:pPr>
        <w:pStyle w:val="ListNumber"/>
      </w:pPr>
      <w:r>
        <w:t>1. 应收票据期末余额较期初增长50%，但明细表、盘点表及备查簿均仅记录2张零金额票据，与审定表13,870,000元严重脱节，账实不符。</w:t>
      </w:r>
    </w:p>
    <w:p>
      <w:pPr>
        <w:pStyle w:val="ListNumber"/>
      </w:pPr>
      <w:r>
        <w:t>2. 票据备查簿、盘点记录与财务账面数据完全不一致，内部控制存在重大缺陷，可能影响应收票据的存在性、完整性和计价认定。</w:t>
      </w:r>
    </w:p>
    <w:p>
      <w:pPr>
        <w:pStyle w:val="ListNumber"/>
      </w:pPr>
      <w:r>
        <w:t>3. 贴现检查表与背书检查表无任何记录，无法确认是否存在未披露的票据质押、贴现或背书事项。</w:t>
      </w:r>
    </w:p>
    <w:p>
      <w:pPr>
        <w:pStyle w:val="Heading1"/>
      </w:pPr>
      <w:r>
        <w:rPr>
          <w:rFonts w:ascii="微软雅黑" w:hAnsi="微软雅黑"/>
        </w:rPr>
        <w:t>风险清单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风险等级</w:t>
            </w:r>
          </w:p>
        </w:tc>
        <w:tc>
          <w:tcPr>
            <w:tcW w:type="dxa" w:w="2160"/>
          </w:tcPr>
          <w:p>
            <w:r>
              <w:t>项目</w:t>
            </w:r>
          </w:p>
        </w:tc>
        <w:tc>
          <w:tcPr>
            <w:tcW w:type="dxa" w:w="2160"/>
          </w:tcPr>
          <w:p>
            <w:r>
              <w:t>金额</w:t>
            </w:r>
          </w:p>
        </w:tc>
        <w:tc>
          <w:tcPr>
            <w:tcW w:type="dxa" w:w="2160"/>
          </w:tcPr>
          <w:p>
            <w:r>
              <w:t>原因</w:t>
            </w:r>
          </w:p>
        </w:tc>
      </w:tr>
      <w:tr>
        <w:tc>
          <w:tcPr>
            <w:tcW w:type="dxa" w:w="2160"/>
          </w:tcPr>
          <w:p>
            <w:r>
              <w:t>error</w:t>
            </w:r>
          </w:p>
        </w:tc>
        <w:tc>
          <w:tcPr>
            <w:tcW w:type="dxa" w:w="2160"/>
          </w:tcPr>
          <w:p>
            <w:r>
              <w:t>应收票据期末余额</w:t>
            </w:r>
          </w:p>
        </w:tc>
        <w:tc>
          <w:tcPr>
            <w:tcW w:type="dxa" w:w="2160"/>
          </w:tcPr>
          <w:p>
            <w:r>
              <w:t>13,870,000.00</w:t>
            </w:r>
          </w:p>
        </w:tc>
        <w:tc>
          <w:tcPr>
            <w:tcW w:type="dxa" w:w="2160"/>
          </w:tcPr>
          <w:p>
            <w:r>
              <w:t>期末余额较期初增长50%，超过50%阈值，且明细表与审定表金额完全不符，存在重大错报风险。</w:t>
            </w:r>
          </w:p>
        </w:tc>
      </w:tr>
      <w:tr>
        <w:tc>
          <w:tcPr>
            <w:tcW w:type="dxa" w:w="2160"/>
          </w:tcPr>
          <w:p>
            <w:r>
              <w:t>error</w:t>
            </w:r>
          </w:p>
        </w:tc>
        <w:tc>
          <w:tcPr>
            <w:tcW w:type="dxa" w:w="2160"/>
          </w:tcPr>
          <w:p>
            <w:r>
              <w:t>应收票据明细表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明细表仅列示2张票据且金额均为0，与审定表期末余额13,870,000元严重不符，账实核对存在重大缺陷。</w:t>
            </w:r>
          </w:p>
        </w:tc>
      </w:tr>
      <w:tr>
        <w:tc>
          <w:tcPr>
            <w:tcW w:type="dxa" w:w="2160"/>
          </w:tcPr>
          <w:p>
            <w:r>
              <w:t>error</w:t>
            </w:r>
          </w:p>
        </w:tc>
        <w:tc>
          <w:tcPr>
            <w:tcW w:type="dxa" w:w="2160"/>
          </w:tcPr>
          <w:p>
            <w:r>
              <w:t>应收票据盘点表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盘点表记录票据金额为0，与审定表余额完全不一致，实物盘点程序失效，存在资产虚增或记录遗漏风险。</w:t>
            </w:r>
          </w:p>
        </w:tc>
      </w:tr>
      <w:tr>
        <w:tc>
          <w:tcPr>
            <w:tcW w:type="dxa" w:w="2160"/>
          </w:tcPr>
          <w:p>
            <w:r>
              <w:t>error</w:t>
            </w:r>
          </w:p>
        </w:tc>
        <w:tc>
          <w:tcPr>
            <w:tcW w:type="dxa" w:w="2160"/>
          </w:tcPr>
          <w:p>
            <w:r>
              <w:t>票据备查簿核对表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备查簿记录金额为0，与账面余额严重不符，票据台账管理失控。</w:t>
            </w:r>
          </w:p>
        </w:tc>
      </w:tr>
    </w:tbl>
    <w:p/>
    <w:p>
      <w:pPr>
        <w:pStyle w:val="Heading1"/>
      </w:pPr>
      <w:r>
        <w:rPr>
          <w:rFonts w:ascii="微软雅黑" w:hAnsi="微软雅黑"/>
        </w:rPr>
        <w:t>底稿Sheet审计结论</w:t>
      </w:r>
    </w:p>
    <w:p>
      <w:r>
        <w:t>D-1 应收票据审定表: 期末余额较期初增长50%，变动异常，且与其他底稿数据严重不符，审定表数据可靠性存疑，需重新核实账务处理。</w:t>
      </w:r>
    </w:p>
    <w:p>
      <w:r>
        <w:t>D-2 应收票据明细表(票据): 明细表仅记录2张零金额票据，与审定表余额完全不一致，无法支持期末余额的存在性与完整性认定，需补充完整票据清单。</w:t>
      </w:r>
    </w:p>
    <w:p>
      <w:r>
        <w:t>D-3 应收票据盘点表: 盘点表记录金额为零，与账面余额严重不符，盘点程序未能有效验证票据实物存在性，需重新执行全面盘点。</w:t>
      </w:r>
    </w:p>
    <w:p>
      <w:r>
        <w:t>D-4 票据备查簿核对表: 备查簿记录与账面余额完全不一致，票据台账管理存在严重缺陷，无法为票据管理提供有效支持。</w:t>
      </w:r>
    </w:p>
    <w:p>
      <w:r>
        <w:t>D-5 应收票据贴现检查表: 无贴现记录，但鉴于其他底稿数据严重异常，需进一步核实是否存在未入账的票据贴现业务。</w:t>
      </w:r>
    </w:p>
    <w:p>
      <w:r>
        <w:t>D-6 应收票据背书检查表: 无背书记录，但需结合其他程序确认是否存在未披露的票据背书转让事项。</w:t>
      </w:r>
    </w:p>
    <w:p>
      <w:r>
        <w:t>D-7 预期信用损失检查表: 坏账准备计提金额为零，鉴于票据记录混乱，需重新评估预期信用损失计提的充分性。</w:t>
      </w:r>
    </w:p>
    <w:p>
      <w:pPr>
        <w:pStyle w:val="Heading1"/>
      </w:pPr>
      <w:r>
        <w:rPr>
          <w:rFonts w:ascii="微软雅黑" w:hAnsi="微软雅黑"/>
        </w:rPr>
        <w:t>整体审计摘要</w:t>
      </w:r>
    </w:p>
    <w:p>
      <w:r>
        <w:t>应收票据期末余额13,870,000元，较期初增长50%，主要系银行承兑汇票增加。但明细表、盘点表及备查簿仅记录2张票据且金额为0，与审定表数据严重脱节，存在重大错报风险。票据实物管理及账务记录存在严重缺陷，需立即核实差异原因。</w:t>
      </w:r>
    </w:p>
    <w:p>
      <w:pPr>
        <w:pStyle w:val="Heading2"/>
      </w:pPr>
      <w:r>
        <w:rPr>
          <w:rFonts w:ascii="微软雅黑" w:hAnsi="微软雅黑"/>
        </w:rPr>
        <w:t>技术信息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生成方式</w:t>
            </w:r>
          </w:p>
        </w:tc>
        <w:tc>
          <w:tcPr>
            <w:tcW w:type="dxa" w:w="4320"/>
          </w:tcPr>
          <w:p>
            <w:r>
              <w:t>代码计算 + LLM判断</w:t>
            </w:r>
          </w:p>
        </w:tc>
      </w:tr>
      <w:tr>
        <w:tc>
          <w:tcPr>
            <w:tcW w:type="dxa" w:w="4320"/>
          </w:tcPr>
          <w:p>
            <w:r>
              <w:t>计算Sheet数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输出文件</w:t>
            </w:r>
          </w:p>
        </w:tc>
        <w:tc>
          <w:tcPr>
            <w:tcW w:type="dxa" w:w="4320"/>
          </w:tcPr>
          <w:p>
            <w:r>
              <w:t>D:\audit-agent\demo_outputs\重庆蛮先进智能制造有限公司_20241231_20260517_093020.xlsx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