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其他应收款（E）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其他应收款（索引号:E）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31.8秒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其他应收款期末余额较期初大幅增长141.25%，新增款项965,000元，需进一步核实交易背景及是否存在潜在关联方资金拆借。</w:t>
      </w:r>
    </w:p>
    <w:p>
      <w:pPr>
        <w:pStyle w:val="ListNumber"/>
      </w:pPr>
      <w:r>
        <w:t>2. 员工张三备用金2万元未回函，且账龄为6个月，需执行替代程序以确认余额存在及准确性。</w:t>
      </w:r>
    </w:p>
    <w:p>
      <w:pPr>
        <w:pStyle w:val="ListNumber"/>
      </w:pPr>
      <w:r>
        <w:t>3. 押金保证金较期初减少25万元，变动率-71.43%，应核实是否已收回或转为费用，并检查相关合同及凭证。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其他应收款期末余额变动</w:t>
            </w:r>
          </w:p>
        </w:tc>
        <w:tc>
          <w:tcPr>
            <w:tcW w:type="dxa" w:w="2160"/>
          </w:tcPr>
          <w:p>
            <w:r>
              <w:t>565,000.00</w:t>
            </w:r>
          </w:p>
        </w:tc>
        <w:tc>
          <w:tcPr>
            <w:tcW w:type="dxa" w:w="2160"/>
          </w:tcPr>
          <w:p>
            <w:r>
              <w:t>期末余额较期初增长141.25%，远超50%阈值，需关注新增款项的商业实质及可收回性。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其他应收款-押金保证金变动</w:t>
            </w:r>
          </w:p>
        </w:tc>
        <w:tc>
          <w:tcPr>
            <w:tcW w:type="dxa" w:w="2160"/>
          </w:tcPr>
          <w:p>
            <w:r>
              <w:t>-250,000.00</w:t>
            </w:r>
          </w:p>
        </w:tc>
        <w:tc>
          <w:tcPr>
            <w:tcW w:type="dxa" w:w="2160"/>
          </w:tcPr>
          <w:p>
            <w:r>
              <w:t>押金保证金较期初下降71.43%，变动率超过30%，需核实减少原因及是否存在未记录负债。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函证回函率不足</w:t>
            </w:r>
          </w:p>
        </w:tc>
        <w:tc>
          <w:tcPr>
            <w:tcW w:type="dxa" w:w="2160"/>
          </w:tcPr>
          <w:p>
            <w:r>
              <w:t>20,000.00</w:t>
            </w:r>
          </w:p>
        </w:tc>
        <w:tc>
          <w:tcPr>
            <w:tcW w:type="dxa" w:w="2160"/>
          </w:tcPr>
          <w:p>
            <w:r>
              <w:t>仅对重庆蛮好商贸有限公司实施函证并回函，员工张三备用金2万元未回函，整体回函率低于80%，审计证据不足。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账龄1-2年其他应收款</w:t>
            </w:r>
          </w:p>
        </w:tc>
        <w:tc>
          <w:tcPr>
            <w:tcW w:type="dxa" w:w="2160"/>
          </w:tcPr>
          <w:p>
            <w:r>
              <w:t>50,000.00</w:t>
            </w:r>
          </w:p>
        </w:tc>
        <w:tc>
          <w:tcPr>
            <w:tcW w:type="dxa" w:w="2160"/>
          </w:tcPr>
          <w:p>
            <w:r>
              <w:t>存在账龄1-2年款项5万元，占期末余额5.18%，需关注长期挂账原因及坏账风险。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E-1 其他应收款审定表: 期末余额较期初增长141.25%，变动异常，需对新增款项执行进一步审计程序，整体审定数未见重大错报。</w:t>
      </w:r>
    </w:p>
    <w:p>
      <w:r>
        <w:t>E-2 其他应收款明细表: 明细表列示两笔款项，其中员工备用金未回函且账龄6个月，需补充替代测试；仓库押金已回函无差异，可以确认。</w:t>
      </w:r>
    </w:p>
    <w:p>
      <w:r>
        <w:t>E-3 账龄分析表: 账龄结构以1年以内为主，1-2年款项5万元已计提坏账准备，但需关注长期挂账原因及后续回收计划。</w:t>
      </w:r>
    </w:p>
    <w:p>
      <w:r>
        <w:t>E-4 函证汇总表: 函证回函率仅50%，未回函金额2万元，未达到80%的审计要求，需扩大替代程序范围以获取充分适当证据。</w:t>
      </w:r>
    </w:p>
    <w:p>
      <w:r>
        <w:t>E-5 控股股东资金占用审核表: 未发现控股股东资金占用情况，审计结论无异常。</w:t>
      </w:r>
    </w:p>
    <w:p>
      <w:r>
        <w:t>E-6 关联方交易核对表: 未发现关联方交易未披露事项，审计结论无异常。</w:t>
      </w:r>
    </w:p>
    <w:p>
      <w:r>
        <w:t>E-7 坏账准备计算表: 坏账准备按账龄比例计提，计算准确，与账面数一致，未见重大错报。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其他应收款期末余额193万元，较期初大幅增长141.25%，主要系新增大额其他应收款所致。账龄主要集中在1年以内，但存在1-2年账龄款项5万元，需关注回收风险。函证回函率仅50%，员工备用金未回函，审计证据不足。坏账准备计提充分，无控股股东资金占用及关联方交易未披露事项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D:\audit-agent\demo_outputs\重庆蛮先进智能制造有限公司_20241231_20260517_093054.xlsx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