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预付账款（F）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预付账款（索引号:F）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18.7秒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预付账款-设备采购期末余额133万元，较期初85万元增长56.47%，变动幅度较大，应检查相关采购合同、审批单据及期后到货验收情况</w:t>
      </w:r>
    </w:p>
    <w:p>
      <w:pPr>
        <w:pStyle w:val="ListNumber"/>
      </w:pPr>
      <w:r>
        <w:t>2. 预付账款整体账龄均在1年以内，无长期挂账，函证回函率100%，未见异常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预付账款-设备采购</w:t>
            </w:r>
          </w:p>
        </w:tc>
        <w:tc>
          <w:tcPr>
            <w:tcW w:type="dxa" w:w="2160"/>
          </w:tcPr>
          <w:p>
            <w:r>
              <w:t>1,330,000.00</w:t>
            </w:r>
          </w:p>
        </w:tc>
        <w:tc>
          <w:tcPr>
            <w:tcW w:type="dxa" w:w="2160"/>
          </w:tcPr>
          <w:p>
            <w:r>
              <w:t>期末余额较期初增长56.47%，超过30%预警线，需核实设备采购合同条款、交货期及是否存在资金占用风险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F-1 预付账款审定表: 预付账款期末余额266万元，较期初增长26.67%，未超过30%预警线，但设备采购明细增长56.47%需重点关注，整体未见重大异常。</w:t>
      </w:r>
    </w:p>
    <w:p>
      <w:r>
        <w:t>F-2 预付账款明细表: 明细表列示两笔预付账款，供应商分别为重庆钢铁设备有限公司和华为技术有限公司，金额与审定表一致，未见异常。</w:t>
      </w:r>
    </w:p>
    <w:p>
      <w:r>
        <w:t>F-3 账龄分析表: 预付账款账龄均在1年以内，无长期挂账风险，账龄结构健康。</w:t>
      </w:r>
    </w:p>
    <w:p>
      <w:r>
        <w:t>F-4 函证汇总表: 两笔预付账款均已发函并回函，回函率100%，函证金额与账面一致，未见差异。</w:t>
      </w:r>
    </w:p>
    <w:p>
      <w:r>
        <w:t>F-5 长期挂账查验表: 无长期挂账数据，不存在因长期挂账导致的坏账风险。</w:t>
      </w:r>
    </w:p>
    <w:p>
      <w:r>
        <w:t>F-6 减值准备复核表: 经复核，预付账款不存在减值迹象，无需计提减值准备，结论合理。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预付账款期末余额266万元，较期初增长26.67%，整体账龄在1年以内，函证回函率100%，未发现长期挂账及减值迹象。但预付账款-设备采购明细增长56.47%，需关注采购合同执行进度及供应商履约情况。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D:\audit-agent\demo_outputs\重庆蛮先进智能制造有限公司_20241231_20260517_093115.xlsx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