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预收账款（G）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预收账款（索引号:G）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27.9秒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预收账款期末余额较期初增长60.32%，其中预收货款增长57.14%，波动幅度超过50%异常阈值，需获取大额预收合同，检查收款条款与履约义务的匹配性</w:t>
      </w:r>
    </w:p>
    <w:p>
      <w:pPr>
        <w:pStyle w:val="ListNumber"/>
      </w:pPr>
      <w:r>
        <w:t>2. G-5收入确认检查表中两笔主要预收款项均被标注为“关注”，但未说明具体原因，应补充检查相关销售合同、验收单据及期后收入确认情况，评估是否存在推迟确认收入的舞弊风险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预收账款-货款</w:t>
            </w:r>
          </w:p>
        </w:tc>
        <w:tc>
          <w:tcPr>
            <w:tcW w:type="dxa" w:w="2160"/>
          </w:tcPr>
          <w:p>
            <w:r>
              <w:t>4,400,000.00</w:t>
            </w:r>
          </w:p>
        </w:tc>
        <w:tc>
          <w:tcPr>
            <w:tcW w:type="dxa" w:w="2160"/>
          </w:tcPr>
          <w:p>
            <w:r>
              <w:t>期末余额较期初增长57.14%，超过50%的异常变动阈值，需关注是否存在人为调节收入确认时点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收入确认检查</w:t>
            </w:r>
          </w:p>
        </w:tc>
        <w:tc>
          <w:tcPr>
            <w:tcW w:type="dxa" w:w="2160"/>
          </w:tcPr>
          <w:p>
            <w:r>
              <w:t>3,050,000.00</w:t>
            </w:r>
          </w:p>
        </w:tc>
        <w:tc>
          <w:tcPr>
            <w:tcW w:type="dxa" w:w="2160"/>
          </w:tcPr>
          <w:p>
            <w:r>
              <w:t>重庆长安汽车及赛力斯集团两笔预收款项在收入确认检查中均标注“关注”，可能存在提前收款但未满足收入确认条件而推迟确认收入的风险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G-1 预收账款审定表: 预收账款期末余额505万元，较期初增长60.32%，波动异常，需进一步核查大额预收款项的商业实质及收入确认时点。</w:t>
      </w:r>
    </w:p>
    <w:p>
      <w:r>
        <w:t>G-2 预收账款明细表: 明细表列示两笔大额预收款项，客户为重庆长安汽车和赛力斯集团，合计305万元，占期末余额60.40%，需重点核实交易真实性。</w:t>
      </w:r>
    </w:p>
    <w:p>
      <w:r>
        <w:t>G-3 账龄分析表: 预收账款账龄均在1年以内，无长期挂账情况，账龄结构健康。</w:t>
      </w:r>
    </w:p>
    <w:p>
      <w:r>
        <w:t>G-4 函证汇总表: 两笔大额预收账款均已发函并回函，回函率100%，函证程序未见异常。</w:t>
      </w:r>
    </w:p>
    <w:p>
      <w:r>
        <w:t>G-5 收入确认检查表: 两笔预收款项收入确认检查结果均为“关注”，但未说明具体关注事项，存在收入确认时点不当的潜在风险，应补充审计程序。</w:t>
      </w:r>
    </w:p>
    <w:p>
      <w:r>
        <w:t>G-6 长期挂账查验表: 无长期挂账数据，预收账款周转正常，未发现账龄超过1年的挂账事项。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预收账款期末余额505万元，较期初增长60.32%，主要系预收货款增加。函证回函率100%，账龄均在1年以内，无长期挂账。但收入确认检查显示两笔预收款项均标注“关注”，需进一步核实是否存在推迟确认收入的风险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D:\audit-agent\demo_outputs\重庆蛮先进智能制造有限公司_20241231_20260517_093145.xlsx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