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</w:rPr>
        <w:t>审计日志 - 短期借款（H）</w:t>
      </w:r>
    </w:p>
    <w:p>
      <w:pPr>
        <w:pStyle w:val="Heading1"/>
      </w:pPr>
      <w:r>
        <w:rPr>
          <w:rFonts w:ascii="微软雅黑" w:hAnsi="微软雅黑"/>
        </w:rPr>
        <w:t>审计基本信息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被审计单位</w:t>
            </w:r>
          </w:p>
        </w:tc>
        <w:tc>
          <w:tcPr>
            <w:tcW w:type="dxa" w:w="4320"/>
          </w:tcPr>
          <w:p>
            <w:r>
              <w:t>重庆蛮先进智能制造有限公司</w:t>
            </w:r>
          </w:p>
        </w:tc>
      </w:tr>
      <w:tr>
        <w:tc>
          <w:tcPr>
            <w:tcW w:type="dxa" w:w="4320"/>
          </w:tcPr>
          <w:p>
            <w:r>
              <w:t>审计科目</w:t>
            </w:r>
          </w:p>
        </w:tc>
        <w:tc>
          <w:tcPr>
            <w:tcW w:type="dxa" w:w="4320"/>
          </w:tcPr>
          <w:p>
            <w:r>
              <w:t>短期借款（索引号:H）</w:t>
            </w:r>
          </w:p>
        </w:tc>
      </w:tr>
      <w:tr>
        <w:tc>
          <w:tcPr>
            <w:tcW w:type="dxa" w:w="4320"/>
          </w:tcPr>
          <w:p>
            <w:r>
              <w:t>会计期间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审核员</w:t>
            </w:r>
          </w:p>
        </w:tc>
        <w:tc>
          <w:tcPr>
            <w:tcW w:type="dxa" w:w="4320"/>
          </w:tcPr>
          <w:p>
            <w:r>
              <w:t>AI审计智能体</w:t>
            </w:r>
          </w:p>
        </w:tc>
      </w:tr>
      <w:tr>
        <w:tc>
          <w:tcPr>
            <w:tcW w:type="dxa" w:w="4320"/>
          </w:tcPr>
          <w:p>
            <w:r>
              <w:t>事务所</w:t>
            </w:r>
          </w:p>
        </w:tc>
        <w:tc>
          <w:tcPr>
            <w:tcW w:type="dxa" w:w="4320"/>
          </w:tcPr>
          <w:p>
            <w:r>
              <w:t>XX会计师事务所</w:t>
            </w:r>
          </w:p>
        </w:tc>
      </w:tr>
      <w:tr>
        <w:tc>
          <w:tcPr>
            <w:tcW w:type="dxa" w:w="4320"/>
          </w:tcPr>
          <w:p>
            <w:r>
              <w:t>审计日期</w:t>
            </w:r>
          </w:p>
        </w:tc>
        <w:tc>
          <w:tcPr>
            <w:tcW w:type="dxa" w:w="4320"/>
          </w:tcPr>
          <w:p>
            <w:r>
              <w:t>2026-05-17</w:t>
            </w:r>
          </w:p>
        </w:tc>
      </w:tr>
      <w:tr>
        <w:tc>
          <w:tcPr>
            <w:tcW w:type="dxa" w:w="4320"/>
          </w:tcPr>
          <w:p>
            <w:r>
              <w:t>总耗时</w:t>
            </w:r>
          </w:p>
        </w:tc>
        <w:tc>
          <w:tcPr>
            <w:tcW w:type="dxa" w:w="4320"/>
          </w:tcPr>
          <w:p>
            <w:r>
              <w:t>20.1秒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审计发现</w:t>
      </w:r>
    </w:p>
    <w:p>
      <w:pPr>
        <w:pStyle w:val="ListNumber"/>
      </w:pPr>
      <w:r>
        <w:t>1. 短期借款期末余额较期初增加1100万元，增幅129.41%，其中工行渝北支行新增200万元，另有其他借款增加900万元，需核实新增借款的合同、资金到账及披露情况</w:t>
      </w:r>
    </w:p>
    <w:p>
      <w:pPr>
        <w:pStyle w:val="ListNumber"/>
      </w:pPr>
      <w:r>
        <w:t>2. 两笔借款利息测算与账面记录无差异，函证均已回函且金额一致，贷款卡信息核对相符，未发现逾期情况</w:t>
      </w:r>
    </w:p>
    <w:p>
      <w:pPr>
        <w:pStyle w:val="Heading1"/>
      </w:pPr>
      <w:r>
        <w:rPr>
          <w:rFonts w:ascii="微软雅黑" w:hAnsi="微软雅黑"/>
        </w:rPr>
        <w:t>风险清单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风险等级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金额</w:t>
            </w:r>
          </w:p>
        </w:tc>
        <w:tc>
          <w:tcPr>
            <w:tcW w:type="dxa" w:w="2160"/>
          </w:tcPr>
          <w:p>
            <w:r>
              <w:t>原因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短期借款余额变动</w:t>
            </w:r>
          </w:p>
        </w:tc>
        <w:tc>
          <w:tcPr>
            <w:tcW w:type="dxa" w:w="2160"/>
          </w:tcPr>
          <w:p>
            <w:r>
              <w:t>19,500,000.00</w:t>
            </w:r>
          </w:p>
        </w:tc>
        <w:tc>
          <w:tcPr>
            <w:tcW w:type="dxa" w:w="2160"/>
          </w:tcPr>
          <w:p>
            <w:r>
              <w:t>短期借款期末较期初增长129.41%，远超50%阈值，需关注借款大幅增加的商业合理性及资金用途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抵押借款-建设银行两江支行</w:t>
            </w:r>
          </w:p>
        </w:tc>
        <w:tc>
          <w:tcPr>
            <w:tcW w:type="dxa" w:w="2160"/>
          </w:tcPr>
          <w:p>
            <w:r>
              <w:t>3,000,000.00</w:t>
            </w:r>
          </w:p>
        </w:tc>
        <w:tc>
          <w:tcPr>
            <w:tcW w:type="dxa" w:w="2160"/>
          </w:tcPr>
          <w:p>
            <w:r>
              <w:t>该笔借款以渝北区厂房作抵押，账面净值500万，需关注抵押物评估价值及是否存在其他优先受偿权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底稿Sheet审计结论</w:t>
      </w:r>
    </w:p>
    <w:p>
      <w:r>
        <w:t>H-1 短期借款审定表: 短期借款期末余额3700万元，较期初大幅增长129.41%，已核实明细账与总账一致，但需关注新增借款的真实性及披露完整性。</w:t>
      </w:r>
    </w:p>
    <w:p>
      <w:r>
        <w:t>H-2 借款明细及利息复核表: 两笔借款利息测算与账面利息支出无差异，利率与合同约定一致，利息计提准确。</w:t>
      </w:r>
    </w:p>
    <w:p>
      <w:r>
        <w:t>H-3 函证汇总表: 两笔借款均已发函并回函，回函率100%，函证金额与账面记录一致，函证程序有效。</w:t>
      </w:r>
    </w:p>
    <w:p>
      <w:r>
        <w:t>H-4 贷款卡核对表: 贷款卡信息与企业账面记录核对一致，未发现未入账借款。</w:t>
      </w:r>
    </w:p>
    <w:p>
      <w:r>
        <w:t>H-5 逾期贷款检查表: 两笔借款均未逾期，还款日期均在2025年，短期偿债压力可控。</w:t>
      </w:r>
    </w:p>
    <w:p>
      <w:r>
        <w:t>H-6 抵押质押担保统计表: 抵押借款对应抵押物为渝北区厂房，账面净值500万，需获取评估报告并核实抵押登记情况。</w:t>
      </w:r>
    </w:p>
    <w:p>
      <w:pPr>
        <w:pStyle w:val="Heading1"/>
      </w:pPr>
      <w:r>
        <w:rPr>
          <w:rFonts w:ascii="微软雅黑" w:hAnsi="微软雅黑"/>
        </w:rPr>
        <w:t>整体审计摘要</w:t>
      </w:r>
    </w:p>
    <w:p>
      <w:r>
        <w:t>短期借款期末余额3700万元，较期初增长129.41%，主要系新增借款所致。函证回函率100%，贷款卡信息核对一致，未发现逾期贷款。但借款大幅增长需关注资金用途及偿债能力，抵押借款对应的抵押物价值需进一步评估。</w:t>
      </w:r>
    </w:p>
    <w:p>
      <w:pPr>
        <w:pStyle w:val="Heading2"/>
      </w:pPr>
      <w:r>
        <w:rPr>
          <w:rFonts w:ascii="微软雅黑" w:hAnsi="微软雅黑"/>
        </w:rPr>
        <w:t>技术信息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生成方式</w:t>
            </w:r>
          </w:p>
        </w:tc>
        <w:tc>
          <w:tcPr>
            <w:tcW w:type="dxa" w:w="4320"/>
          </w:tcPr>
          <w:p>
            <w:r>
              <w:t>代码计算 + LLM判断</w:t>
            </w:r>
          </w:p>
        </w:tc>
      </w:tr>
      <w:tr>
        <w:tc>
          <w:tcPr>
            <w:tcW w:type="dxa" w:w="4320"/>
          </w:tcPr>
          <w:p>
            <w:r>
              <w:t>计算Sheet数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输出文件</w:t>
            </w:r>
          </w:p>
        </w:tc>
        <w:tc>
          <w:tcPr>
            <w:tcW w:type="dxa" w:w="4320"/>
          </w:tcPr>
          <w:p>
            <w:r>
              <w:t>D:\audit-agent\demo_outputs\重庆蛮先进智能制造有限公司_20241231_20260517_093336.xlsx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