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审计日志 - 应收账款（I）</w:t>
      </w:r>
    </w:p>
    <w:p>
      <w:pPr>
        <w:pStyle w:val="Heading1"/>
      </w:pPr>
      <w:r>
        <w:rPr>
          <w:rFonts w:ascii="微软雅黑" w:hAnsi="微软雅黑"/>
        </w:rPr>
        <w:t>审计基本信息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被审计单位</w:t>
            </w:r>
          </w:p>
        </w:tc>
        <w:tc>
          <w:tcPr>
            <w:tcW w:type="dxa" w:w="4320"/>
          </w:tcPr>
          <w:p>
            <w:r>
              <w:t>重庆蛮先进智能制造有限公司</w:t>
            </w:r>
          </w:p>
        </w:tc>
      </w:tr>
      <w:tr>
        <w:tc>
          <w:tcPr>
            <w:tcW w:type="dxa" w:w="4320"/>
          </w:tcPr>
          <w:p>
            <w:r>
              <w:t>审计科目</w:t>
            </w:r>
          </w:p>
        </w:tc>
        <w:tc>
          <w:tcPr>
            <w:tcW w:type="dxa" w:w="4320"/>
          </w:tcPr>
          <w:p>
            <w:r>
              <w:t>应收账款（索引号:I）</w:t>
            </w:r>
          </w:p>
        </w:tc>
      </w:tr>
      <w:tr>
        <w:tc>
          <w:tcPr>
            <w:tcW w:type="dxa" w:w="4320"/>
          </w:tcPr>
          <w:p>
            <w:r>
              <w:t>会计期间</w:t>
            </w:r>
          </w:p>
        </w:tc>
        <w:tc>
          <w:tcPr>
            <w:tcW w:type="dxa" w:w="4320"/>
          </w:tcPr>
          <w:p>
            <w:r>
              <w:t>2024-12-31</w:t>
            </w:r>
          </w:p>
        </w:tc>
      </w:tr>
      <w:tr>
        <w:tc>
          <w:tcPr>
            <w:tcW w:type="dxa" w:w="4320"/>
          </w:tcPr>
          <w:p>
            <w:r>
              <w:t>审核员</w:t>
            </w:r>
          </w:p>
        </w:tc>
        <w:tc>
          <w:tcPr>
            <w:tcW w:type="dxa" w:w="4320"/>
          </w:tcPr>
          <w:p>
            <w:r>
              <w:t>AI审计智能体</w:t>
            </w:r>
          </w:p>
        </w:tc>
      </w:tr>
      <w:tr>
        <w:tc>
          <w:tcPr>
            <w:tcW w:type="dxa" w:w="4320"/>
          </w:tcPr>
          <w:p>
            <w:r>
              <w:t>事务所</w:t>
            </w:r>
          </w:p>
        </w:tc>
        <w:tc>
          <w:tcPr>
            <w:tcW w:type="dxa" w:w="4320"/>
          </w:tcPr>
          <w:p>
            <w:r>
              <w:t>XX会计师事务所</w:t>
            </w:r>
          </w:p>
        </w:tc>
      </w:tr>
      <w:tr>
        <w:tc>
          <w:tcPr>
            <w:tcW w:type="dxa" w:w="4320"/>
          </w:tcPr>
          <w:p>
            <w:r>
              <w:t>审计日期</w:t>
            </w:r>
          </w:p>
        </w:tc>
        <w:tc>
          <w:tcPr>
            <w:tcW w:type="dxa" w:w="4320"/>
          </w:tcPr>
          <w:p>
            <w:r>
              <w:t>2026-05-17</w:t>
            </w:r>
          </w:p>
        </w:tc>
      </w:tr>
      <w:tr>
        <w:tc>
          <w:tcPr>
            <w:tcW w:type="dxa" w:w="4320"/>
          </w:tcPr>
          <w:p>
            <w:r>
              <w:t>总耗时</w:t>
            </w:r>
          </w:p>
        </w:tc>
        <w:tc>
          <w:tcPr>
            <w:tcW w:type="dxa" w:w="4320"/>
          </w:tcPr>
          <w:p>
            <w:r>
              <w:t>21.5秒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审计发现</w:t>
      </w:r>
    </w:p>
    <w:p>
      <w:pPr>
        <w:pStyle w:val="ListNumber"/>
      </w:pPr>
      <w:r>
        <w:t>1. 应收账款期末余额185万元，账龄均在1年以内，结构较为健康。</w:t>
      </w:r>
    </w:p>
    <w:p>
      <w:pPr>
        <w:pStyle w:val="ListNumber"/>
      </w:pPr>
      <w:r>
        <w:t>2. 函证全部回函且无差异，函证程序有效。</w:t>
      </w:r>
    </w:p>
    <w:p>
      <w:pPr>
        <w:pStyle w:val="ListNumber"/>
      </w:pPr>
      <w:r>
        <w:t>3. 期后回款比例仅60%，需关注客户信用状况及回款能力。</w:t>
      </w:r>
    </w:p>
    <w:p>
      <w:pPr>
        <w:pStyle w:val="ListNumber"/>
      </w:pPr>
      <w:r>
        <w:t>4. 坏账准备按1%计提1.85万元，与预期信用损失模型计算结果一致，计提充分。</w:t>
      </w:r>
    </w:p>
    <w:p>
      <w:pPr>
        <w:pStyle w:val="Heading1"/>
      </w:pPr>
      <w:r>
        <w:rPr>
          <w:rFonts w:ascii="微软雅黑" w:hAnsi="微软雅黑"/>
        </w:rPr>
        <w:t>风险清单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金额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</w:tr>
      <w:tr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期后回款比例偏低</w:t>
            </w:r>
          </w:p>
        </w:tc>
        <w:tc>
          <w:tcPr>
            <w:tcW w:type="dxa" w:w="2160"/>
          </w:tcPr>
          <w:p>
            <w:r>
              <w:t>1,650,000.00</w:t>
            </w:r>
          </w:p>
        </w:tc>
        <w:tc>
          <w:tcPr>
            <w:tcW w:type="dxa" w:w="2160"/>
          </w:tcPr>
          <w:p>
            <w:r>
              <w:t>湖北双环科技和重庆鑫源装备期后回款比例均为60%，低于正常水平，可能存在应收账款回收风险。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应收账款余额增长</w:t>
            </w:r>
          </w:p>
        </w:tc>
        <w:tc>
          <w:tcPr>
            <w:tcW w:type="dxa" w:w="2160"/>
          </w:tcPr>
          <w:p>
            <w:r>
              <w:t>170,000.00</w:t>
            </w:r>
          </w:p>
        </w:tc>
        <w:tc>
          <w:tcPr>
            <w:tcW w:type="dxa" w:w="2160"/>
          </w:tcPr>
          <w:p>
            <w:r>
              <w:t>应收账款期末较期初增长10.12%，变动率未超过30%阈值，但需关注销售回款周期变化。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底稿Sheet审计结论</w:t>
      </w:r>
    </w:p>
    <w:p>
      <w:r>
        <w:t>I-1 应收账款审定表: 应收账款期末余额185万元，较期初增长10.12%，变动在合理范围内，未发现重大异常。</w:t>
      </w:r>
    </w:p>
    <w:p>
      <w:r>
        <w:t>I-2 应收账款明细表: 明细表与审定表数据一致，两家客户均为关联方且已回函，无异常。</w:t>
      </w:r>
    </w:p>
    <w:p>
      <w:r>
        <w:t>I-3 账龄分析表: 应收账款账龄均在1年以内，无长期挂账，信用风险较低。</w:t>
      </w:r>
    </w:p>
    <w:p>
      <w:r>
        <w:t>I-4 函证汇总表: 函证回函率100%，回函金额与账面一致，函证程序无异常发现。</w:t>
      </w:r>
    </w:p>
    <w:p>
      <w:r>
        <w:t>I-5 预期信用损失检查表: 预期信用损失模型参数合理，计算结果与坏账准备计提数一致。</w:t>
      </w:r>
    </w:p>
    <w:p>
      <w:r>
        <w:t>I-6 坏账准备计算表: 坏账准备按账龄比例计提，金额准确，与预期信用损失检查表勾稽一致。</w:t>
      </w:r>
    </w:p>
    <w:p>
      <w:r>
        <w:t>I-7 期后回款检查表: 期后回款比例60%，偏低，建议关注客户回款能力并考虑追加审计程序。</w:t>
      </w:r>
    </w:p>
    <w:p>
      <w:pPr>
        <w:pStyle w:val="Heading1"/>
      </w:pPr>
      <w:r>
        <w:rPr>
          <w:rFonts w:ascii="微软雅黑" w:hAnsi="微软雅黑"/>
        </w:rPr>
        <w:t>整体审计摘要</w:t>
      </w:r>
    </w:p>
    <w:p>
      <w:r>
        <w:t>应收账款期末余额185万元，较期初168万元增长10.12%，整体账龄均在1年以内。函证回函率100%，但期后回款比例仅60%，存在一定回收风险。坏账准备计提充分，未发现重大错报。</w:t>
      </w:r>
    </w:p>
    <w:p>
      <w:pPr>
        <w:pStyle w:val="Heading2"/>
      </w:pPr>
      <w:r>
        <w:rPr>
          <w:rFonts w:ascii="微软雅黑" w:hAnsi="微软雅黑"/>
        </w:rPr>
        <w:t>技术信息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生成方式</w:t>
            </w:r>
          </w:p>
        </w:tc>
        <w:tc>
          <w:tcPr>
            <w:tcW w:type="dxa" w:w="4320"/>
          </w:tcPr>
          <w:p>
            <w:r>
              <w:t>代码计算 + LLM判断</w:t>
            </w:r>
          </w:p>
        </w:tc>
      </w:tr>
      <w:tr>
        <w:tc>
          <w:tcPr>
            <w:tcW w:type="dxa" w:w="4320"/>
          </w:tcPr>
          <w:p>
            <w:r>
              <w:t>计算Sheet数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输出文件</w:t>
            </w:r>
          </w:p>
        </w:tc>
        <w:tc>
          <w:tcPr>
            <w:tcW w:type="dxa" w:w="4320"/>
          </w:tcPr>
          <w:p>
            <w:r>
              <w:t>D:\audit-agent\demo_outputs\重庆蛮先进智能制造有限公司_20241231_20260517_093400.xlsx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