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应付账款（J）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应付账款（索引号:J）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14.9秒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暂估应付款13万元已收到发票，但未进行冲销处理，影响应付账款准确性。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暂估应付款</w:t>
            </w:r>
          </w:p>
        </w:tc>
        <w:tc>
          <w:tcPr>
            <w:tcW w:type="dxa" w:w="2160"/>
          </w:tcPr>
          <w:p>
            <w:r>
              <w:t>130,000.00</w:t>
            </w:r>
          </w:p>
        </w:tc>
        <w:tc>
          <w:tcPr>
            <w:tcW w:type="dxa" w:w="2160"/>
          </w:tcPr>
          <w:p>
            <w:r>
              <w:t>暂估金额已到票但未及时冲销，可能导致应付账款余额不准确，存在跨期错报风险。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J-1 应付账款审定表: 审定表与明细表、总账余额勾稽一致，未发现重大错报，期末余额可以确认。</w:t>
      </w:r>
    </w:p>
    <w:p>
      <w:r>
        <w:t>J-2 应付账款明细表: 明细表列示两家主要供应商，余额合计与审定表一致，供应商信息完整，关联方已标识。</w:t>
      </w:r>
    </w:p>
    <w:p>
      <w:r>
        <w:t>J-3 账龄分析表: 应付账款账龄均在1年以内，无长期挂账风险，流动性良好。</w:t>
      </w:r>
    </w:p>
    <w:p>
      <w:r>
        <w:t>J-4 函证汇总表: 两家供应商均已回函且金额相符，回函率100%，函证程序有效，余额可确认。</w:t>
      </w:r>
    </w:p>
    <w:p>
      <w:r>
        <w:t>J-5 长期挂账应付款查验表: 无长期挂账应付款项，不存在相关审计风险。</w:t>
      </w:r>
    </w:p>
    <w:p>
      <w:r>
        <w:t>J-6 暂估检查表: 暂估金额13万元已到票但未冲销，存在跨期错报风险，建议调整。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应付账款期末余额520万元，整体账龄均在1年以内，函证回函率100%，未发现长期挂账。但暂估金额13万元已到票未冲销，存在跨期风险；审定表与明细表余额勾稽一致，未发现重大异常。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D:\audit-agent\demo_outputs\重庆蛮先进智能制造有限公司_20241231_20260517_093417.xlsx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