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应付职工薪酬（L）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应付职工薪酬（索引号:L）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25.0秒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L-3薪酬分配检查表生产部与销售部人均月薪16,011.11元，与L-5部门独立数据核对表人均月薪1,334.26元严重不符，数据真实性存疑。</w:t>
      </w:r>
    </w:p>
    <w:p>
      <w:pPr>
        <w:pStyle w:val="ListNumber"/>
      </w:pPr>
      <w:r>
        <w:t>2. L-2应付职工薪酬明细表中养老保险计提比例16%与工资总额勾稽关系需进一步验证。</w:t>
      </w:r>
    </w:p>
    <w:p>
      <w:pPr>
        <w:pStyle w:val="ListNumber"/>
      </w:pPr>
      <w:r>
        <w:t>3. L-4薪酬年度比较表仅列示1-2月数据，未覆盖全年，无法有效分析薪酬波动趋势。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薪酬分配检查表与部门独立数据核对表人均月薪矛盾</w:t>
            </w:r>
          </w:p>
        </w:tc>
        <w:tc>
          <w:tcPr>
            <w:tcW w:type="dxa" w:w="2160"/>
          </w:tcPr>
          <w:p>
            <w:r>
              <w:t>16,011.11元 vs 1,334.26元</w:t>
            </w:r>
          </w:p>
        </w:tc>
        <w:tc>
          <w:tcPr>
            <w:tcW w:type="dxa" w:w="2160"/>
          </w:tcPr>
          <w:p>
            <w:r>
              <w:t>L-3表生产部、销售部人均月薪均为16,011.11元，而L-5表对应部门人均月薪仅为1,334.26元，差异超过10倍，存在严重数据错误或舞弊风险。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应付职工薪酬-工资变动率</w:t>
            </w:r>
          </w:p>
        </w:tc>
        <w:tc>
          <w:tcPr>
            <w:tcW w:type="dxa" w:w="2160"/>
          </w:tcPr>
          <w:p>
            <w:r>
              <w:t>100,000.00</w:t>
            </w:r>
          </w:p>
        </w:tc>
        <w:tc>
          <w:tcPr>
            <w:tcW w:type="dxa" w:w="2160"/>
          </w:tcPr>
          <w:p>
            <w:r>
              <w:t>应付职工薪酬-工资期末余额较期初增加10万元，变动率20%，虽未超30%预警线，但需关注工资增长合理性。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L-1 应付职工薪酬审定表: 审定表期末余额与明细表勾稽一致，未发现重大错报，但需关注工资项目20%的变动原因。</w:t>
      </w:r>
    </w:p>
    <w:p>
      <w:r>
        <w:t>L-2 应付职工薪酬明细表: 明细表列示了工资及养老保险的期初期末及计提发放情况，养老保险计提比例16%需与当地政策核对，未见其他异常。</w:t>
      </w:r>
    </w:p>
    <w:p>
      <w:r>
        <w:t>L-3 薪酬分配检查表: 薪酬分配检查表人均月薪数据与L-5部门独立数据核对表存在重大矛盾，数据可靠性存疑，需重新核实计算。</w:t>
      </w:r>
    </w:p>
    <w:p>
      <w:r>
        <w:t>L-4 薪酬年度比较表: 薪酬年度比较表仅提供两个月数据，样本量不足，无法对全年薪酬波动情况发表有效结论，需补充完整年度数据。</w:t>
      </w:r>
    </w:p>
    <w:p>
      <w:r>
        <w:t>L-5 部门独立数据核对表: 部门独立数据核对表人均月薪与L-3表严重不符，且各部门人均月薪差异较小，需核实数据来源及计算方法的准确性。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应付职工薪酬期末余额131万元，整体变动率18.06%，未超过30%预警线。但薪酬分配检查表显示生产部与销售部人均月薪完全一致（16,011.11元），与部门独立数据核对表中人均月薪（1,334.26元）存在重大矛盾，疑似数据录入错误或计算口径不一致，需进一步核实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D:\audit-agent\demo_outputs\重庆蛮先进智能制造有限公司_20241231_20260517_093508.xlsx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