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应交税费（M）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应交税费（索引号:M）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18.4秒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M-2应交税费明细表与M-1审定表中增值税借贷发生额方向相反，需核实账务处理是否正确。</w:t>
      </w:r>
    </w:p>
    <w:p>
      <w:pPr>
        <w:pStyle w:val="ListNumber"/>
      </w:pPr>
      <w:r>
        <w:t>2. 各税种纳税申报数与账面计提数一致，未发现少报漏报情形。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应交税费明细表借贷方向差异</w:t>
            </w:r>
          </w:p>
        </w:tc>
        <w:tc>
          <w:tcPr>
            <w:tcW w:type="dxa" w:w="2160"/>
          </w:tcPr>
          <w:p>
            <w:r>
              <w:t>20,000.00</w:t>
            </w:r>
          </w:p>
        </w:tc>
        <w:tc>
          <w:tcPr>
            <w:tcW w:type="dxa" w:w="2160"/>
          </w:tcPr>
          <w:p>
            <w:r>
              <w:t>M-2明细表中增值税借方发生额180万、贷方182万，与M-1审定表借方182万、贷方180万方向相反，可能存在记账方向错误或数据填列口径不一致。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M-1 应交税费审定表: 应交税费期末余额64万元，较期初增加4万元，变动率14.29%，未见异常波动，可以确认。</w:t>
      </w:r>
    </w:p>
    <w:p>
      <w:r>
        <w:t>M-2 应交税费明细表: 明细表列示增值税和企业所得税的期初余额、借贷发生额及期末余额，但与审定表借贷方向存在差异，需进一步核实。</w:t>
      </w:r>
    </w:p>
    <w:p>
      <w:r>
        <w:t>M-3 纳税申报核对表: 增值税和企业所得税申报数与账面数完全一致，纳税申报未见异常。</w:t>
      </w:r>
    </w:p>
    <w:p>
      <w:r>
        <w:t>M-4 应交增值税明细表: 销项税额198万元、进项税额108万元，与M-5计提复核表勾稽一致，未见异常。</w:t>
      </w:r>
    </w:p>
    <w:p>
      <w:r>
        <w:t>M-5 税金计提复核表: 增值税和企业所得税的计提基数、税率及税额计算准确，与账面计提数一致，未见异常。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应交税费期末余额64万元，整体变动率14.29%，未超过预警阈值。各税种纳税申报数与账面计提数核对一致，增值税销项与进项勾稽未见异常。但应交税费明细表中增值税借贷方向与审定表存在差异，需关注账务处理准确性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D:\audit-agent\demo_outputs\重庆蛮先进智能制造有限公司_20241231_20260517_093528.xlsx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