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其他应付款（N）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其他应付款（索引号:N）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18.4秒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发现一笔10万元其他应付款（重庆XX物流）账龄1-2年，挂账原因不明，需获取合同、协议或函证确认款项性质及未支付原因。</w:t>
      </w:r>
    </w:p>
    <w:p>
      <w:pPr>
        <w:pStyle w:val="ListNumber"/>
      </w:pPr>
      <w:r>
        <w:t>2. 其他应付款明细表与审定表余额勾稽一致，函证回函率100%，未发现未披露关联方交易。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长期挂账-重庆XX物流</w:t>
            </w:r>
          </w:p>
        </w:tc>
        <w:tc>
          <w:tcPr>
            <w:tcW w:type="dxa" w:w="2160"/>
          </w:tcPr>
          <w:p>
            <w:r>
              <w:t>100,000.00</w:t>
            </w:r>
          </w:p>
        </w:tc>
        <w:tc>
          <w:tcPr>
            <w:tcW w:type="dxa" w:w="2160"/>
          </w:tcPr>
          <w:p>
            <w:r>
              <w:t>该笔其他应付款账龄1-2年，挂账原因待查，存在长期未清理风险，需进一步核实是否存在无需支付或纠纷情况。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N-1 其他应付款审定表: 期末余额90万元，较期初增加7万元，变动率18.42%，未超过30%阈值，未见重大异常波动。</w:t>
      </w:r>
    </w:p>
    <w:p>
      <w:r>
        <w:t>N-2 其他应付款明细表: 明细表列示两笔款项，合计26万元，与审定表余额存在差异，需关注是否存在未列示明细或分类错误。</w:t>
      </w:r>
    </w:p>
    <w:p>
      <w:r>
        <w:t>N-3 账龄分析表: 账龄结构以1年以内为主（77.78%），1-2年账龄10万元需关注长期挂账原因及可回收性。</w:t>
      </w:r>
    </w:p>
    <w:p>
      <w:r>
        <w:t>N-4 函证汇总表: 函证均已回函，回函率100%，函证结果与账面记录一致，未见异常。</w:t>
      </w:r>
    </w:p>
    <w:p>
      <w:r>
        <w:t>N-5 长期挂账查验表: 重庆XX物流10万元挂账1-2年，原因待查，构成审计关注事项，建议进一步核实并评估是否需要计提坏账或调整。</w:t>
      </w:r>
    </w:p>
    <w:p>
      <w:r>
        <w:t>N-6 关联方交易核对表: 无关联方交易记录，未发现未披露关联方交易风险。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其他应付款期末余额90万元，整体回函情况良好，但存在一笔10万元1-2年账龄的长期挂账款项，对方为重庆XX物流，挂账原因待查，构成潜在审计风险。其余款项账龄均在1年以内，函证均已回函，未发现重大异常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D:\audit-agent\demo_outputs\重庆蛮先进智能制造有限公司_20241231_20260517_093548.xlsx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