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存货（O）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存货（索引号:O）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25.5秒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原材料盘点差异7.6万元，差异率2%，需获取盘点差异原因说明及审批记录。</w:t>
      </w:r>
    </w:p>
    <w:p>
      <w:pPr>
        <w:pStyle w:val="ListNumber"/>
      </w:pPr>
      <w:r>
        <w:t>2. 库龄超过1年的存货合计60万元，需评估是否存在呆滞风险及跌价准备计提的充分性。</w:t>
      </w:r>
    </w:p>
    <w:p>
      <w:pPr>
        <w:pStyle w:val="ListNumber"/>
      </w:pPr>
      <w:r>
        <w:t>3. 存货倒轧核对表数据不完整，无法完成从期初到期末的完整勾稽，需补充完整数据。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原材料盘点差异</w:t>
            </w:r>
          </w:p>
        </w:tc>
        <w:tc>
          <w:tcPr>
            <w:tcW w:type="dxa" w:w="2160"/>
          </w:tcPr>
          <w:p>
            <w:r>
              <w:t>76,000.00</w:t>
            </w:r>
          </w:p>
        </w:tc>
        <w:tc>
          <w:tcPr>
            <w:tcW w:type="dxa" w:w="2160"/>
          </w:tcPr>
          <w:p>
            <w:r>
              <w:t>原材料盘点差异7.6万元，差异率2%，虽未超过重要性水平，但需关注盘点程序的有效性及差异原因。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存货库龄较长</w:t>
            </w:r>
          </w:p>
        </w:tc>
        <w:tc>
          <w:tcPr>
            <w:tcW w:type="dxa" w:w="2160"/>
          </w:tcPr>
          <w:p>
            <w:r>
              <w:t>600,000.00</w:t>
            </w:r>
          </w:p>
        </w:tc>
        <w:tc>
          <w:tcPr>
            <w:tcW w:type="dxa" w:w="2160"/>
          </w:tcPr>
          <w:p>
            <w:r>
              <w:t>原材料及库存商品库龄超过1年的金额合计60万元，占比约16%，存在存货积压及潜在跌价风险。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存货倒轧表勾稽差异</w:t>
            </w:r>
          </w:p>
        </w:tc>
        <w:tc>
          <w:tcPr>
            <w:tcW w:type="dxa" w:w="2160"/>
          </w:tcPr>
          <w:p>
            <w:r>
              <w:t>未明确</w:t>
            </w:r>
          </w:p>
        </w:tc>
        <w:tc>
          <w:tcPr>
            <w:tcW w:type="dxa" w:w="2160"/>
          </w:tcPr>
          <w:p>
            <w:r>
              <w:t>存货倒轧核对表仅列示期初余额与本期入库，缺少本期出库及期末余额的完整勾稽，无法验证与审定表的一致性。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O-1 存货审定表: 存货期末余额940万元，原材料及库存商品变动率分别为18.75%和9.80%，未见异常波动，可以确认。</w:t>
      </w:r>
    </w:p>
    <w:p>
      <w:r>
        <w:t>O-2 存货明细表: 存货明细表与审定表数据一致，原材料及库存商品-A的期末余额勾稽相符，未见重大异常。</w:t>
      </w:r>
    </w:p>
    <w:p>
      <w:r>
        <w:t>O-3 存货跌价准备审定表: 原材料及库存商品-A的可变现净值均高于成本，无需计提跌价准备，结论合理。</w:t>
      </w:r>
    </w:p>
    <w:p>
      <w:r>
        <w:t>O-4 存货库龄分析表: 库龄超过1年的存货占比约16%，存在一定积压风险，建议关注呆滞存货的后续处理及可变现净值评估。</w:t>
      </w:r>
    </w:p>
    <w:p>
      <w:r>
        <w:t>O-5 存货盘点汇总表: 原材料盘点差异7.6万元（差异率2%），虽未超过重要性水平，但需查明原因并评估对存货余额的影响。</w:t>
      </w:r>
    </w:p>
    <w:p>
      <w:r>
        <w:t>O-6 存货倒轧核对表: 倒轧表仅列示期初余额和本期入库，缺少完整勾稽链条，无法验证存货进销存逻辑的正确性，需补充完整数据。</w:t>
      </w:r>
    </w:p>
    <w:p>
      <w:r>
        <w:t>O-7 存货计价测试表: 原材料及库存商品-A的计价测试差异均小于重要性水平，存货计价方法一贯执行，未见重大异常。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存货期末余额940万元，整体账实基本相符，跌价准备计提充分。但原材料盘点差异7.6万元（差异率2%），且库龄超过1年的存货占比约16%，存在一定的积压风险。存货计价测试未发现重大异常，倒轧表数据存在勾稽差异需进一步核实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D:\audit-agent\demo_outputs\重庆蛮先进智能制造有限公司_20241231_20260517_093616.xlsx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