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固定资产（P）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固定资产（索引号:P）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30.8秒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房屋建筑物折旧测算差异180,000元，实际计提仅为测算数的52.63%，存在重大少提折旧风险</w:t>
      </w:r>
    </w:p>
    <w:p>
      <w:pPr>
        <w:pStyle w:val="ListNumber"/>
      </w:pPr>
      <w:r>
        <w:t>2. 机器设备折旧测算差异192,500元，实际计提仅为测算数的42.11%，存在重大少提折旧风险</w:t>
      </w:r>
    </w:p>
    <w:p>
      <w:pPr>
        <w:pStyle w:val="ListNumber"/>
      </w:pPr>
      <w:r>
        <w:t>3. 两项折旧差异合计372,500元，可能导致净利润虚增，构成重大错报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房屋建筑物折旧计提不足</w:t>
            </w:r>
          </w:p>
        </w:tc>
        <w:tc>
          <w:tcPr>
            <w:tcW w:type="dxa" w:w="2160"/>
          </w:tcPr>
          <w:p>
            <w:r>
              <w:t>180,000.00</w:t>
            </w:r>
          </w:p>
        </w:tc>
        <w:tc>
          <w:tcPr>
            <w:tcW w:type="dxa" w:w="2160"/>
          </w:tcPr>
          <w:p>
            <w:r>
              <w:t>测算应提折旧380,000元，实际计提200,000元，差异180,000元，差异率90%，远超重要性水平50,000元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机器设备折旧计提不足</w:t>
            </w:r>
          </w:p>
        </w:tc>
        <w:tc>
          <w:tcPr>
            <w:tcW w:type="dxa" w:w="2160"/>
          </w:tcPr>
          <w:p>
            <w:r>
              <w:t>192,500.00</w:t>
            </w:r>
          </w:p>
        </w:tc>
        <w:tc>
          <w:tcPr>
            <w:tcW w:type="dxa" w:w="2160"/>
          </w:tcPr>
          <w:p>
            <w:r>
              <w:t>测算应提折旧332,500元，实际计提140,000元，差异192,500元，差异率137.5%，远超重要性水平50,000元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累计折旧变动率异常</w:t>
            </w:r>
          </w:p>
        </w:tc>
        <w:tc>
          <w:tcPr>
            <w:tcW w:type="dxa" w:w="2160"/>
          </w:tcPr>
          <w:p>
            <w:r>
              <w:t>-400,000.00</w:t>
            </w:r>
          </w:p>
        </w:tc>
        <w:tc>
          <w:tcPr>
            <w:tcW w:type="dxa" w:w="2160"/>
          </w:tcPr>
          <w:p>
            <w:r>
              <w:t>累计折旧本期增加400,000元，但审定表显示变动率为-14.29%，系期初余额为负数列示导致，需关注列报方式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P-1 固定资产审定表: 固定资产原值及累计折旧列示完整，但累计折旧本期增加额与折旧测算表存在重大差异，需进一步核实折旧计提的准确性。</w:t>
      </w:r>
    </w:p>
    <w:p>
      <w:r>
        <w:t>P-2 固定资产明细表(含折旧): 固定资产分类及折旧政策披露清晰，但实际计提折旧金额与按政策测算结果严重不符，需查明原因并考虑调整。</w:t>
      </w:r>
    </w:p>
    <w:p>
      <w:r>
        <w:t>P-3 本期增减变动分析表: 本期新增电子设备350,000元、处置运输设备180,000元，变动合理，未见异常。</w:t>
      </w:r>
    </w:p>
    <w:p>
      <w:r>
        <w:t>P-4 折旧测算表: 房屋建筑物与机器设备测算折旧均显著高于实际计提数，合计差异372,500元，远超重要性水平，构成重大错报风险，应提请管理层补提折旧。</w:t>
      </w:r>
    </w:p>
    <w:p>
      <w:r>
        <w:t>P-5 减值测试表: 房屋建筑物及机器设备可收回金额均高于账面价值，未发现减值迹象，无需计提减值准备。</w:t>
      </w:r>
    </w:p>
    <w:p>
      <w:r>
        <w:t>P-6 固定资产监盘汇总表: 监盘结果显示账实相符，房屋建筑物及机器设备均无盘盈盘亏，实物存在性认定有效。</w:t>
      </w:r>
    </w:p>
    <w:p>
      <w:r>
        <w:t>P-7 权证查验记录表: 房屋建筑物不动产权证及运输车辆登记证齐全，权属清晰，未发现抵押或权利受限情形。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固定资产整体账面净值9,470,000元，监盘与权证查验未见异常，未发现减值迹象。但折旧测算差异显著：房屋建筑物少提折旧180,000元，机器设备少提折旧192,500元，合计差异372,500元，远超重要性水平，构成重大错报风险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D:\audit-agent\demo_outputs\重庆蛮先进智能制造有限公司_20241231_20260517_093649.xlsx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