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无形资产（Q）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无形资产（索引号:Q）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22.4秒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累计摊销本期增加额与摊销测算表应计提金额存在17万元差异，需获取差异明细并核实原因。</w:t>
      </w:r>
    </w:p>
    <w:p>
      <w:pPr>
        <w:pStyle w:val="ListNumber"/>
      </w:pPr>
      <w:r>
        <w:t>2. 本期新增专利权C未在无形资产明细表中列示，需补充完善明细表信息。</w:t>
      </w:r>
    </w:p>
    <w:p>
      <w:pPr>
        <w:pStyle w:val="ListNumber"/>
      </w:pPr>
      <w:r>
        <w:t>3. 专利权A和B的产权证书齐全，未发现权属瑕疵。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累计摊销差异</w:t>
            </w:r>
          </w:p>
        </w:tc>
        <w:tc>
          <w:tcPr>
            <w:tcW w:type="dxa" w:w="2160"/>
          </w:tcPr>
          <w:p>
            <w:r>
              <w:t>170,000.00</w:t>
            </w:r>
          </w:p>
        </w:tc>
        <w:tc>
          <w:tcPr>
            <w:tcW w:type="dxa" w:w="2160"/>
          </w:tcPr>
          <w:p>
            <w:r>
              <w:t>审定表本期累计摊销增加40万元，但摊销测算表本期应计提仅23万元（专利权A 15万+专利权B 8万），差异17万元超过重要性水平5万元，可能存在摊销计提错误或跨期问题。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累计摊销变动率</w:t>
            </w:r>
          </w:p>
        </w:tc>
        <w:tc>
          <w:tcPr>
            <w:tcW w:type="dxa" w:w="2160"/>
          </w:tcPr>
          <w:p>
            <w:r>
              <w:t>400,000.00</w:t>
            </w:r>
          </w:p>
        </w:tc>
        <w:tc>
          <w:tcPr>
            <w:tcW w:type="dxa" w:w="2160"/>
          </w:tcPr>
          <w:p>
            <w:r>
              <w:t>累计摊销本期增加40万元，变动率-33.33%（绝对值&gt;30%），需关注摊销政策一致性。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本期新增无形资产</w:t>
            </w:r>
          </w:p>
        </w:tc>
        <w:tc>
          <w:tcPr>
            <w:tcW w:type="dxa" w:w="2160"/>
          </w:tcPr>
          <w:p>
            <w:r>
              <w:t>200,000.00</w:t>
            </w:r>
          </w:p>
        </w:tc>
        <w:tc>
          <w:tcPr>
            <w:tcW w:type="dxa" w:w="2160"/>
          </w:tcPr>
          <w:p>
            <w:r>
              <w:t>本期新增专利权C原值20万元，需核实入账依据及产权证书是否齐备。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Q-1 无形资产审定表: 无形资产原值及累计摊销期末余额可以确认，但累计摊销本期增加额与摊销测算表存在17万元差异，需进一步核实并调整。</w:t>
      </w:r>
    </w:p>
    <w:p>
      <w:r>
        <w:t>Q-2 无形资产明细表: 明细表列示了专利权A和B的详细信息，但未包含本期新增的专利权C，需补充完善。</w:t>
      </w:r>
    </w:p>
    <w:p>
      <w:r>
        <w:t>Q-3 本期增减变动分析表: 本期新增专利权C原值20万元，变动原因合理，但需核实入账凭证及产权文件。</w:t>
      </w:r>
    </w:p>
    <w:p>
      <w:r>
        <w:t>Q-4 摊销测算表: 摊销测算表计算准确，专利权A和B的年摊销额与账面一致，但合计应计提23万元与审定表实际增加40万元不符，需查明差异。</w:t>
      </w:r>
    </w:p>
    <w:p>
      <w:r>
        <w:t>Q-5 减值测试表: 专利权A和B的可收回金额均高于账面价值，未发现减值迹象，减值测试结论可以接受。</w:t>
      </w:r>
    </w:p>
    <w:p>
      <w:r>
        <w:t>Q-6 产权核对表: 专利权A和B的产权证书齐全，权属清晰，未发现产权瑕疵或抵押情况。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公司无形资产核算基本规范，本期新增专利权C原值20万元，摊销测算准确，产权证书齐全，未发现减值迹象。但累计摊销本期增加40万元，与摊销测算表本期应计提23万元存在17万元差异，需进一步核实差异原因，可能存在费用跨期或摊销政策变更未披露的风险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D:\audit-agent\demo_outputs\重庆蛮先进智能制造有限公司_20241231_20260517_093713.xlsx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