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A readiness diagnostic of federal statistical websites: what the public client is, and what it never does</w:t>
      </w:r>
    </w:p>
    <w:p>
      <w:r>
        <w:rPr>
          <w:rFonts w:ascii="Calibri" w:hAnsi="Calibri"/>
          <w:b w:val="0"/>
          <w:sz w:val="21"/>
        </w:rPr>
        <w:t>This is a readiness diagnostic: 16 checks run against the public websites of 16 federal statistical bodies, with 3 reference hosts shown beside them, over a named roster of 72 surfaces. Each check is one published question about whether a machine client can reach, read and use the data. The thing that runs the checks is the public client: the least privileged client a member of the public has.</w:t>
      </w:r>
    </w:p>
    <w:p>
      <w:r>
        <w:rPr>
          <w:rFonts w:ascii="Calibri" w:hAnsi="Calibri"/>
          <w:b/>
          <w:sz w:val="24"/>
        </w:rPr>
        <w:t>How it behaves</w:t>
      </w:r>
    </w:p>
    <w:p>
      <w:pPr>
        <w:pStyle w:val="ListBullet"/>
      </w:pPr>
      <w:r>
        <w:rPr>
          <w:rFonts w:ascii="Calibri" w:hAnsi="Calibri"/>
          <w:b w:val="0"/>
          <w:sz w:val="21"/>
        </w:rPr>
        <w:t>The public client identifies itself in every request by one fixed user-agent string, so a security team can find every request it made in its own logs.</w:t>
      </w:r>
    </w:p>
    <w:p>
      <w:pPr>
        <w:pStyle w:val="ListBullet"/>
      </w:pPr>
      <w:r>
        <w:rPr>
          <w:rFonts w:ascii="Calibri" w:hAnsi="Calibri"/>
          <w:b w:val="0"/>
          <w:sz w:val="21"/>
        </w:rPr>
        <w:t>It makes one request per check per surface. It holds to 1 request per second per host, and it waits longer when a host's robots.txt asks it to, up to a ceiling of 60 seconds, above which it records the surface as not measured rather than press on.</w:t>
      </w:r>
    </w:p>
    <w:p>
      <w:pPr>
        <w:pStyle w:val="ListBullet"/>
      </w:pPr>
      <w:r>
        <w:rPr>
          <w:rFonts w:ascii="Calibri" w:hAnsi="Calibri"/>
          <w:b w:val="0"/>
          <w:sz w:val="21"/>
        </w:rPr>
        <w:t>It honours robots.txt. On the cycle of record it did not fetch 16 surfaces because the host's robots.txt told it not to, and it recorded those as not measured.</w:t>
      </w:r>
    </w:p>
    <w:p>
      <w:pPr>
        <w:pStyle w:val="ListBullet"/>
      </w:pPr>
      <w:r>
        <w:rPr>
          <w:rFonts w:ascii="Calibri" w:hAnsi="Calibri"/>
          <w:b w:val="0"/>
          <w:sz w:val="21"/>
        </w:rPr>
        <w:t>At the first rung it presents no credentials of any kind. At the second rung it presents only a key obtained by open public registration.</w:t>
      </w:r>
    </w:p>
    <w:p>
      <w:r>
        <w:rPr>
          <w:rFonts w:ascii="Calibri" w:hAnsi="Calibri"/>
          <w:b/>
          <w:sz w:val="24"/>
        </w:rPr>
        <w:t>What it never does</w:t>
      </w:r>
    </w:p>
    <w:p>
      <w:pPr>
        <w:pStyle w:val="ListBullet"/>
      </w:pPr>
      <w:r>
        <w:rPr>
          <w:rFonts w:ascii="Calibri" w:hAnsi="Calibri"/>
          <w:b w:val="0"/>
          <w:sz w:val="21"/>
        </w:rPr>
        <w:t>It submits no form and solves no challenge: no CAPTCHA, no sign-in, no search box filled in.</w:t>
      </w:r>
    </w:p>
    <w:p>
      <w:pPr>
        <w:pStyle w:val="ListBullet"/>
      </w:pPr>
      <w:r>
        <w:rPr>
          <w:rFonts w:ascii="Calibri" w:hAnsi="Calibri"/>
          <w:b w:val="0"/>
          <w:sz w:val="21"/>
        </w:rPr>
        <w:t>It runs none of a page's scripts; it reads the page as first served.</w:t>
      </w:r>
    </w:p>
    <w:p>
      <w:pPr>
        <w:pStyle w:val="ListBullet"/>
      </w:pPr>
      <w:r>
        <w:rPr>
          <w:rFonts w:ascii="Calibri" w:hAnsi="Calibri"/>
          <w:b w:val="0"/>
          <w:sz w:val="21"/>
        </w:rPr>
        <w:t>It fetches nothing beyond a page's own headers and its body: no files a script would build, no addresses reached only through a tool.</w:t>
      </w:r>
    </w:p>
    <w:p>
      <w:pPr>
        <w:pStyle w:val="ListBullet"/>
      </w:pPr>
      <w:r>
        <w:rPr>
          <w:rFonts w:ascii="Calibri" w:hAnsi="Calibri"/>
          <w:b w:val="0"/>
          <w:sz w:val="21"/>
        </w:rPr>
        <w:t>It takes no credential a citizen cannot obtain. A rung that needs an agency to grant what a citizen cannot get for themselves is reported as not measured, refused — never scored.</w:t>
      </w:r>
    </w:p>
    <w:p>
      <w:r>
        <w:rPr>
          <w:rFonts w:ascii="Calibri" w:hAnsi="Calibri"/>
          <w:b w:val="0"/>
          <w:sz w:val="21"/>
        </w:rPr>
        <w:t>It identifies itself as ai-readiness-kg-scanner/0.2 (+https://github.com/brockwebb/ai-readiness-kg) (assessment/harness/scan/params.yaml line 144).</w:t>
      </w:r>
    </w:p>
    <w:p>
      <w:r>
        <w:rPr>
          <w:rFonts w:ascii="Calibri" w:hAnsi="Calibri"/>
          <w:b/>
          <w:sz w:val="24"/>
        </w:rPr>
        <w:t>The four states</w:t>
      </w:r>
    </w:p>
    <w:p>
      <w:r>
        <w:rPr>
          <w:rFonts w:ascii="Calibri" w:hAnsi="Calibri"/>
          <w:b w:val="0"/>
          <w:sz w:val="21"/>
        </w:rPr>
        <w:t>A check comes back in one of four states. A pass means every one of the agency's data pages that was looked at met the check; a fail means every one did not; a partial means some met it and some did not; and not measured means the public client could not look at one or more pages, so that neither "every page passes" nor "every page fails" is established. Not measured has three reasons: the host refused the identified client; the client's own robots.txt compliance kept it from reading the page; or it could not confirm an absence, or a server or network error stopped it. Not measured is never a fail.</w:t>
      </w:r>
    </w:p>
    <w:p>
      <w:r>
        <w:rPr>
          <w:rFonts w:ascii="Calibri" w:hAnsi="Calibri"/>
          <w:b/>
          <w:sz w:val="24"/>
        </w:rPr>
        <w:t>The two rungs</w:t>
      </w:r>
    </w:p>
    <w:p>
      <w:r>
        <w:rPr>
          <w:rFonts w:ascii="Calibri" w:hAnsi="Calibri"/>
          <w:b w:val="0"/>
          <w:sz w:val="21"/>
        </w:rPr>
        <w:t>The public client runs on a ladder of two rungs. Rung one is anonymous and keyless: it honours robots.txt and holds to the standing rate limit. Rung two is the same client registered as any member of the public registers, presenting a key obtained by open registration — a good-faith handshake, not a barrier. A refusal at rung one with a pass at rung two is reported as both, because both are true about the public experience. Rung two is specified here and measured in its own later cycle; no rung-two result is shown before one exists.</w:t>
      </w:r>
    </w:p>
    <w:p>
      <w:r>
        <w:rPr>
          <w:rFonts w:ascii="Calibri" w:hAnsi="Calibri"/>
          <w:b/>
          <w:sz w:val="24"/>
        </w:rPr>
        <w:t>What this is not</w:t>
      </w:r>
    </w:p>
    <w:p>
      <w:r>
        <w:rPr>
          <w:rFonts w:ascii="Calibri" w:hAnsi="Calibri"/>
          <w:b w:val="0"/>
          <w:sz w:val="21"/>
        </w:rPr>
        <w:t>This diagnostic does not test whether an agent completed a task with the data; that is a later level of the framework, not this one.</w:t>
      </w:r>
    </w:p>
    <w:p>
      <w:r>
        <w:rPr>
          <w:rFonts w:ascii="Calibri" w:hAnsi="Calibri"/>
          <w:b/>
          <w:sz w:val="24"/>
        </w:rPr>
        <w:t>Not a league table</w:t>
      </w:r>
    </w:p>
    <w:p>
      <w:r>
        <w:rPr>
          <w:rFonts w:ascii="Calibri" w:hAnsi="Calibri"/>
          <w:b w:val="0"/>
          <w:sz w:val="21"/>
        </w:rPr>
        <w:t>This is not a public league table, and it is not a campaign to make any agency open its site to anyone. The results go to the agency, not to the public. A check that rests on a rule this project chose rather than on a published standard is shown for transparency and is not scored as a finding about the agency; the method is published here in full so that a reader can see exactly what was and was not measured, and argue with it.</w:t>
      </w:r>
    </w:p>
    <w:p>
      <w:r>
        <w:rPr>
          <w:rFonts w:ascii="Calibri" w:hAnsi="Calibri"/>
          <w:b/>
          <w:sz w:val="24"/>
        </w:rPr>
        <w:t>A few terms</w:t>
      </w:r>
    </w:p>
    <w:p>
      <w:pPr>
        <w:pStyle w:val="ListBullet"/>
      </w:pPr>
      <w:r>
        <w:rPr>
          <w:rFonts w:ascii="Calibri" w:hAnsi="Calibri"/>
          <w:b/>
          <w:sz w:val="21"/>
        </w:rPr>
        <w:t xml:space="preserve">media type — </w:t>
      </w:r>
      <w:r>
        <w:rPr>
          <w:rFonts w:ascii="Calibri" w:hAnsi="Calibri"/>
          <w:sz w:val="21"/>
        </w:rPr>
        <w:t>the short label a web server sends with a file to say what kind of file it is, such as a spreadsheet, a CSV or a PDF.</w:t>
      </w:r>
    </w:p>
    <w:p>
      <w:pPr>
        <w:pStyle w:val="ListBullet"/>
      </w:pPr>
      <w:r>
        <w:rPr>
          <w:rFonts w:ascii="Calibri" w:hAnsi="Calibri"/>
          <w:b/>
          <w:sz w:val="21"/>
        </w:rPr>
        <w:t xml:space="preserve">a page that reports success for an address that does not exist (a soft error page) — </w:t>
      </w:r>
      <w:r>
        <w:rPr>
          <w:rFonts w:ascii="Calibri" w:hAnsi="Calibri"/>
          <w:sz w:val="21"/>
        </w:rPr>
        <w:t>a server answering a made-up web address with a normal page instead of a clear not-found message, so a machine cannot tell the address is wrong.</w:t>
      </w:r>
    </w:p>
    <w:p>
      <w:pPr>
        <w:pStyle w:val="ListBullet"/>
      </w:pPr>
      <w:r>
        <w:rPr>
          <w:rFonts w:ascii="Calibri" w:hAnsi="Calibri"/>
          <w:b/>
          <w:sz w:val="21"/>
        </w:rPr>
        <w:t xml:space="preserve">OpenAPI or Swagger description — </w:t>
      </w:r>
      <w:r>
        <w:rPr>
          <w:rFonts w:ascii="Calibri" w:hAnsi="Calibri"/>
          <w:sz w:val="21"/>
        </w:rPr>
        <w:t>a machine-readable file that lists an interface's available calls, so a program can use the interface without a person reading the documentation first.</w:t>
      </w:r>
    </w:p>
    <w:p>
      <w:pPr>
        <w:pStyle w:val="ListBullet"/>
      </w:pPr>
      <w:r>
        <w:rPr>
          <w:rFonts w:ascii="Calibri" w:hAnsi="Calibri"/>
          <w:b/>
          <w:sz w:val="21"/>
        </w:rPr>
        <w:t xml:space="preserve">kibibytes — </w:t>
      </w:r>
      <w:r>
        <w:rPr>
          <w:rFonts w:ascii="Calibri" w:hAnsi="Calibri"/>
          <w:sz w:val="21"/>
        </w:rPr>
        <w:t>a unit of file size, close to a kilobyte; used here as a small floor so a stub file is not mistaken for a whole download.</w:t>
      </w:r>
    </w:p>
    <w:p>
      <w:pPr>
        <w:pStyle w:val="ListBullet"/>
      </w:pPr>
      <w:r>
        <w:rPr>
          <w:rFonts w:ascii="Calibri" w:hAnsi="Calibri"/>
          <w:b/>
          <w:sz w:val="21"/>
        </w:rPr>
        <w:t xml:space="preserve">a recognised licence identifier — </w:t>
      </w:r>
      <w:r>
        <w:rPr>
          <w:rFonts w:ascii="Calibri" w:hAnsi="Calibri"/>
          <w:sz w:val="21"/>
        </w:rPr>
        <w:t>a licence named by a standard short code from a public list, rather than described only in a sentence, so a machine can tell the terms of reuse.</w:t>
      </w:r>
    </w:p>
    <w:p>
      <w:pPr>
        <w:pStyle w:val="ListBullet"/>
      </w:pPr>
      <w:r>
        <w:rPr>
          <w:rFonts w:ascii="Calibri" w:hAnsi="Calibri"/>
          <w:b/>
          <w:sz w:val="21"/>
        </w:rPr>
        <w:t xml:space="preserve">a sitemap — </w:t>
      </w:r>
      <w:r>
        <w:rPr>
          <w:rFonts w:ascii="Calibri" w:hAnsi="Calibri"/>
          <w:sz w:val="21"/>
        </w:rPr>
        <w:t>a file a site publishes that lists its pages, so a machine can find them without following every link.</w:t>
      </w:r>
    </w:p>
    <w:p>
      <w:pPr>
        <w:pStyle w:val="ListBullet"/>
      </w:pPr>
      <w:r>
        <w:rPr>
          <w:rFonts w:ascii="Calibri" w:hAnsi="Calibri"/>
          <w:b/>
          <w:sz w:val="21"/>
        </w:rPr>
        <w:t xml:space="preserve">robots.txt — </w:t>
      </w:r>
      <w:r>
        <w:rPr>
          <w:rFonts w:ascii="Calibri" w:hAnsi="Calibri"/>
          <w:sz w:val="21"/>
        </w:rPr>
        <w:t>a file at the top of a site that states, as a policy, which automated clients the site asks to fetch which paths.</w:t>
      </w:r>
    </w:p>
    <w:p>
      <w:pPr>
        <w:pStyle w:val="ListBullet"/>
      </w:pPr>
      <w:r>
        <w:rPr>
          <w:rFonts w:ascii="Calibri" w:hAnsi="Calibri"/>
          <w:b/>
          <w:sz w:val="21"/>
        </w:rPr>
        <w:t xml:space="preserve">a structured change feed — </w:t>
      </w:r>
      <w:r>
        <w:rPr>
          <w:rFonts w:ascii="Calibri" w:hAnsi="Calibri"/>
          <w:sz w:val="21"/>
        </w:rPr>
        <w:t>a machine-readable list of what changed between releases, in a common subscription format, rather than a change note written only for a person to read.</w:t>
      </w:r>
    </w:p>
    <w:p>
      <w:pPr>
        <w:pStyle w:val="ListBullet"/>
      </w:pPr>
      <w:r>
        <w:rPr>
          <w:rFonts w:ascii="Calibri" w:hAnsi="Calibri"/>
          <w:b/>
          <w:sz w:val="21"/>
        </w:rPr>
        <w:t xml:space="preserve">a surface — </w:t>
      </w:r>
      <w:r>
        <w:rPr>
          <w:rFonts w:ascii="Calibri" w:hAnsi="Calibri"/>
          <w:sz w:val="21"/>
        </w:rPr>
        <w:t>one web address the diagnostic looks at: a data page, a home page, an interface address, or a well-known path.</w:t>
      </w:r>
    </w:p>
    <w:p>
      <w:pPr>
        <w:pStyle w:val="ListBullet"/>
      </w:pPr>
      <w:r>
        <w:rPr>
          <w:rFonts w:ascii="Calibri" w:hAnsi="Calibri"/>
          <w:b/>
          <w:sz w:val="21"/>
        </w:rPr>
        <w:t xml:space="preserve">a rung — </w:t>
      </w:r>
      <w:r>
        <w:rPr>
          <w:rFonts w:ascii="Calibri" w:hAnsi="Calibri"/>
          <w:sz w:val="21"/>
        </w:rPr>
        <w:t>one of the two levels of the public client: the first without any key, the second with a key obtained by open public registration.</w:t>
      </w:r>
    </w:p>
    <w:p>
      <w:pPr>
        <w:pStyle w:val="ListBullet"/>
      </w:pPr>
      <w:r>
        <w:rPr>
          <w:rFonts w:ascii="Calibri" w:hAnsi="Calibri"/>
          <w:b/>
          <w:sz w:val="21"/>
        </w:rPr>
        <w:t xml:space="preserve">a dataset's release markup — </w:t>
      </w:r>
      <w:r>
        <w:rPr>
          <w:rFonts w:ascii="Calibri" w:hAnsi="Calibri"/>
          <w:sz w:val="21"/>
        </w:rPr>
        <w:t>fields embedded in a page that state, for a machine, when the data was published or last changed.</w:t>
      </w:r>
    </w:p>
    <w:p>
      <w:r>
        <w:br w:type="page"/>
      </w:r>
    </w:p>
    <w:p>
      <w:r>
        <w:rPr>
          <w:rFonts w:ascii="Calibri" w:hAnsi="Calibri"/>
          <w:b/>
          <w:sz w:val="26"/>
        </w:rPr>
        <w:t>Page links a structured data file</w:t>
      </w:r>
    </w:p>
    <w:p>
      <w:r>
        <w:rPr>
          <w:rFonts w:ascii="Calibri" w:hAnsi="Calibri"/>
          <w:b/>
          <w:sz w:val="21"/>
        </w:rPr>
        <w:t xml:space="preserve">How this check counts. </w:t>
      </w:r>
      <w:r>
        <w:rPr>
          <w:rFonts w:ascii="Calibri" w:hAnsi="Calibri"/>
          <w:sz w:val="21"/>
        </w:rPr>
        <w:t>Scored: a pass or fail here is a finding about the agency.</w:t>
      </w:r>
    </w:p>
    <w:p>
      <w:r>
        <w:rPr>
          <w:rFonts w:ascii="Calibri" w:hAnsi="Calibri"/>
          <w:b/>
          <w:sz w:val="21"/>
        </w:rPr>
        <w:t xml:space="preserve">The question. </w:t>
      </w:r>
      <w:r>
        <w:rPr>
          <w:rFonts w:ascii="Calibri" w:hAnsi="Calibri"/>
          <w:sz w:val="21"/>
        </w:rPr>
        <w:t>Is the data offered in a structured, machine-readable file a computer can read directly, such as CSV, JSON or a spreadsheet, rather than only as a PDF that has to be re-parsed?</w:t>
      </w:r>
    </w:p>
    <w:p>
      <w:r>
        <w:rPr>
          <w:rFonts w:ascii="Calibri" w:hAnsi="Calibri"/>
          <w:b/>
          <w:sz w:val="21"/>
        </w:rPr>
        <w:t xml:space="preserve">Where we look. </w:t>
      </w:r>
      <w:r>
        <w:rPr>
          <w:rFonts w:ascii="Calibri" w:hAnsi="Calibri"/>
          <w:sz w:val="21"/>
        </w:rPr>
        <w:t>On the agency's data page, and the files linked from that page that sit on the same website as the page itself.</w:t>
      </w:r>
    </w:p>
    <w:p>
      <w:r>
        <w:rPr>
          <w:rFonts w:ascii="Calibri" w:hAnsi="Calibri"/>
          <w:b/>
          <w:sz w:val="21"/>
        </w:rPr>
        <w:t xml:space="preserve">What the client does. </w:t>
      </w:r>
      <w:r>
        <w:rPr>
          <w:rFonts w:ascii="Calibri" w:hAnsi="Calibri"/>
          <w:sz w:val="21"/>
        </w:rPr>
        <w:t>The public client opens the data page and then, for each file linked on it that lives on the same website (up to twenty-five), makes one quick web request asking the server what that file is, at a pace of one request per second.</w:t>
      </w:r>
    </w:p>
    <w:p>
      <w:r>
        <w:rPr>
          <w:rFonts w:ascii="Calibri" w:hAnsi="Calibri"/>
          <w:b/>
          <w:sz w:val="21"/>
        </w:rPr>
        <w:t xml:space="preserve">What passing looks like. </w:t>
      </w:r>
      <w:r>
        <w:rPr>
          <w:rFonts w:ascii="Calibri" w:hAnsi="Calibri"/>
          <w:sz w:val="21"/>
        </w:rPr>
        <w:t>A link on this data page, on the page's own website, returned a file that the server labeled by its media type, or the address named by its file extension, as a structured data format: CSV, JSON, XML, spreadsheet or Parquet. Every data page that was looked at met this.</w:t>
      </w:r>
    </w:p>
    <w:p>
      <w:r>
        <w:rPr>
          <w:rFonts w:ascii="Calibri" w:hAnsi="Calibri"/>
          <w:b/>
          <w:sz w:val="21"/>
        </w:rPr>
        <w:t xml:space="preserve">What partial, fail and not measured look like. </w:t>
      </w:r>
      <w:r>
        <w:rPr>
          <w:rFonts w:ascii="Calibri" w:hAnsi="Calibri"/>
          <w:sz w:val="21"/>
        </w:rPr>
        <w:t>Partial — Some of the agency's data pages linked such a structured file and some did not. Fail — Every linked file on the same website, in the page's HTML as first served (files built by scripts or reached through a form are not seen), was checked, and none was labeled by its media type or its file extension as a structured data format. It is not a claim that the page links no structured file at all (a real data file served with a generic label and no extension is missed), nor that the agency publishes no machine-readable data: data offered on another website, such as a data portal or an API, or reached only through a query tool, is outside this page's same-website links. Not measured — The public client could not look at one or more of the linked files, for one of three reasons: the host refused the identified client; the client's own compliance with the site's robots.txt kept it from the file; or it could not confirm the absence because the page carried more same-website links than the cap of twenty-five, or a server or network error occurred.</w:t>
      </w:r>
    </w:p>
    <w:p>
      <w:r>
        <w:rPr>
          <w:rFonts w:ascii="Calibri" w:hAnsi="Calibri"/>
          <w:b/>
          <w:sz w:val="21"/>
        </w:rPr>
        <w:t xml:space="preserve">Why it matters. </w:t>
      </w:r>
      <w:r>
        <w:rPr>
          <w:rFonts w:ascii="Calibri" w:hAnsi="Calibri"/>
          <w:sz w:val="21"/>
        </w:rPr>
        <w:t>USAFacts' AI-ready data guide says to publish datasets in common structured formats (JSON, CSV, machine-readable Excel) and avoid PDFs, an OMB memo requires public data assets to be machine-readable, and a Data on the Web Best Practice asks for a machine-readable standardized format.</w:t>
      </w:r>
    </w:p>
    <w:p>
      <w:r>
        <w:rPr>
          <w:rFonts w:ascii="Calibri" w:hAnsi="Calibri"/>
          <w:b/>
          <w:sz w:val="21"/>
        </w:rPr>
        <w:t xml:space="preserve">Who else runs this check. </w:t>
      </w:r>
      <w:r>
        <w:rPr>
          <w:rFonts w:ascii="Calibri" w:hAnsi="Calibri"/>
          <w:sz w:val="21"/>
        </w:rPr>
        <w:t>Google Lighthouse runs this kind of check: anyone can run its automated checks against a named page, its criteria are published, and a result comes back met, not met, or not applicable. It does not run this exact one.</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OpenAPI description served at the recorded API address</w:t>
      </w:r>
    </w:p>
    <w:p>
      <w:r>
        <w:rPr>
          <w:rFonts w:ascii="Calibri" w:hAnsi="Calibri"/>
          <w:b/>
          <w:sz w:val="21"/>
        </w:rPr>
        <w:t xml:space="preserve">How this check counts. </w:t>
      </w:r>
      <w:r>
        <w:rPr>
          <w:rFonts w:ascii="Calibri" w:hAnsi="Calibri"/>
          <w:sz w:val="21"/>
        </w:rPr>
        <w:t>Not scored as a finding about the agency: this version of the check measures something other than its question and is being revised.</w:t>
      </w:r>
    </w:p>
    <w:p>
      <w:r>
        <w:rPr>
          <w:rFonts w:ascii="Calibri" w:hAnsi="Calibri"/>
          <w:b/>
          <w:sz w:val="21"/>
        </w:rPr>
        <w:t xml:space="preserve">The question. </w:t>
      </w:r>
      <w:r>
        <w:rPr>
          <w:rFonts w:ascii="Calibri" w:hAnsi="Calibri"/>
          <w:sz w:val="21"/>
        </w:rPr>
        <w:t>Does the agency publish a machine-readable description of its data interface, so that a program can learn the available calls and build one without a person first reading the documentation?</w:t>
      </w:r>
    </w:p>
    <w:p>
      <w:r>
        <w:rPr>
          <w:rFonts w:ascii="Calibri" w:hAnsi="Calibri"/>
          <w:b/>
          <w:sz w:val="21"/>
        </w:rPr>
        <w:t xml:space="preserve">Where we look. </w:t>
      </w:r>
      <w:r>
        <w:rPr>
          <w:rFonts w:ascii="Calibri" w:hAnsi="Calibri"/>
          <w:sz w:val="21"/>
        </w:rPr>
        <w:t>At the data-interface address recorded for the agency in the project's records (read from the agency's own pages or seeded from a named source such as a developer page or a public catalog), and any description document recorded beside that address.</w:t>
      </w:r>
    </w:p>
    <w:p>
      <w:r>
        <w:rPr>
          <w:rFonts w:ascii="Calibri" w:hAnsi="Calibri"/>
          <w:b/>
          <w:sz w:val="21"/>
        </w:rPr>
        <w:t xml:space="preserve">What the client does. </w:t>
      </w:r>
      <w:r>
        <w:rPr>
          <w:rFonts w:ascii="Calibri" w:hAnsi="Calibri"/>
          <w:sz w:val="21"/>
        </w:rPr>
        <w:t>The public client makes one web request to the recorded address and reads whether what comes back is a machine-readable description, meaning a document carrying the OpenAPI or the Swagger marker, at one request per second and never a path the site's robots.txt disallows.</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A W3C practice says to provide complete information on the web about an interface so that machines can read it, and USAFacts' AI-ready data guide calls for data interfaces; requiring the description to be OpenAPI and to sit at the recorded address is the project's own rule, and the project has marked this check not yet valid.</w:t>
      </w:r>
    </w:p>
    <w:p>
      <w:r>
        <w:rPr>
          <w:rFonts w:ascii="Calibri" w:hAnsi="Calibri"/>
          <w:b/>
          <w:sz w:val="21"/>
        </w:rPr>
        <w:t xml:space="preserve">Who else runs this check. </w:t>
      </w:r>
      <w:r>
        <w:rPr>
          <w:rFonts w:ascii="Calibri" w:hAnsi="Calibri"/>
          <w:sz w:val="21"/>
        </w:rPr>
        <w:t>Google Lighthouse runs this kind of check: anyone can run its automated checks against a named page, its criteria are published, and a result comes back met, not met, or not applicable. It does not run this exact one.</w:t>
      </w:r>
    </w:p>
    <w:p>
      <w:r>
        <w:rPr>
          <w:rFonts w:ascii="Calibri" w:hAnsi="Calibri"/>
          <w:b/>
          <w:sz w:val="21"/>
        </w:rPr>
        <w:t xml:space="preserve">What rung two changes. </w:t>
      </w:r>
      <w:r>
        <w:rPr>
          <w:rFonts w:ascii="Calibri" w:hAnsi="Calibri"/>
          <w:sz w:val="21"/>
        </w:rPr>
        <w:t>The description document is usually public and needs no key; but this check reads the recorded data-interface address, which could itself require a key, so registering as a member of the public and presenting one could let the client reach a document a bare request cannot.</w:t>
      </w:r>
    </w:p>
    <w:p>
      <w:r>
        <w:br w:type="page"/>
      </w:r>
    </w:p>
    <w:p>
      <w:r>
        <w:rPr>
          <w:rFonts w:ascii="Calibri" w:hAnsi="Calibri"/>
          <w:b/>
          <w:sz w:val="26"/>
        </w:rPr>
        <w:t>Page links an archive or large unfiltered file</w:t>
      </w:r>
    </w:p>
    <w:p>
      <w:r>
        <w:rPr>
          <w:rFonts w:ascii="Calibri" w:hAnsi="Calibri"/>
          <w:b/>
          <w:sz w:val="21"/>
        </w:rPr>
        <w:t xml:space="preserve">How this check counts. </w:t>
      </w:r>
      <w:r>
        <w:rPr>
          <w:rFonts w:ascii="Calibri" w:hAnsi="Calibri"/>
          <w:sz w:val="21"/>
        </w:rPr>
        <w:t>Scored: a pass or fail here is a finding about the agency.</w:t>
      </w:r>
    </w:p>
    <w:p>
      <w:r>
        <w:rPr>
          <w:rFonts w:ascii="Calibri" w:hAnsi="Calibri"/>
          <w:b/>
          <w:sz w:val="21"/>
        </w:rPr>
        <w:t xml:space="preserve">The question. </w:t>
      </w:r>
      <w:r>
        <w:rPr>
          <w:rFonts w:ascii="Calibri" w:hAnsi="Calibri"/>
          <w:sz w:val="21"/>
        </w:rPr>
        <w:t>Can the whole dataset be retrieved in a single request, rather than assembled piece by piece from many filtered queries?</w:t>
      </w:r>
    </w:p>
    <w:p>
      <w:r>
        <w:rPr>
          <w:rFonts w:ascii="Calibri" w:hAnsi="Calibri"/>
          <w:b/>
          <w:sz w:val="21"/>
        </w:rPr>
        <w:t xml:space="preserve">Where we look. </w:t>
      </w:r>
      <w:r>
        <w:rPr>
          <w:rFonts w:ascii="Calibri" w:hAnsi="Calibri"/>
          <w:sz w:val="21"/>
        </w:rPr>
        <w:t>On the agency's data page, and the files linked from that page that sit on the same website as the page itself.</w:t>
      </w:r>
    </w:p>
    <w:p>
      <w:r>
        <w:rPr>
          <w:rFonts w:ascii="Calibri" w:hAnsi="Calibri"/>
          <w:b/>
          <w:sz w:val="21"/>
        </w:rPr>
        <w:t xml:space="preserve">What the client does. </w:t>
      </w:r>
      <w:r>
        <w:rPr>
          <w:rFonts w:ascii="Calibri" w:hAnsi="Calibri"/>
          <w:sz w:val="21"/>
        </w:rPr>
        <w:t>The public client opens the data page and then, for each file linked on it that lives on the same website (up to twenty-five), makes one quick web request asking about that file's type, its size, and whether its address carries a query, at one request per second.</w:t>
      </w:r>
    </w:p>
    <w:p>
      <w:r>
        <w:rPr>
          <w:rFonts w:ascii="Calibri" w:hAnsi="Calibri"/>
          <w:b/>
          <w:sz w:val="21"/>
        </w:rPr>
        <w:t xml:space="preserve">What passing looks like. </w:t>
      </w:r>
      <w:r>
        <w:rPr>
          <w:rFonts w:ascii="Calibri" w:hAnsi="Calibri"/>
          <w:sz w:val="21"/>
        </w:rPr>
        <w:t>This data page links, on its own website, an archive file (named by its extension) or a file that is not a web page, carries no query in its address, and is at least fifty kibibytes. It is not verified to be the complete product. Every data page that was looked at met this.</w:t>
      </w:r>
    </w:p>
    <w:p>
      <w:r>
        <w:rPr>
          <w:rFonts w:ascii="Calibri" w:hAnsi="Calibri"/>
          <w:b/>
          <w:sz w:val="21"/>
        </w:rPr>
        <w:t xml:space="preserve">What partial, fail and not measured look like. </w:t>
      </w:r>
      <w:r>
        <w:rPr>
          <w:rFonts w:ascii="Calibri" w:hAnsi="Calibri"/>
          <w:sz w:val="21"/>
        </w:rPr>
        <w:t>Partial — Some of the agency's data pages linked such a whole-product download and some did not. Fail — Every linked file on the same website, in the page's HTML as first served (a download behind a script-driven button or a form is not seen), was checked, and none is an archive or a non-web-page file without a query of at least fifty kibibytes. The two tests are stand-ins: a link with a query may still deliver the whole product, and a complete product smaller than fifty kibibytes fails the size floor. It is not a claim that the agency's downloads are partial, nor that no bulk download exists elsewhere, such as a data portal, an FTP site, or a bulk endpoint on a data interface. Not measured — The public client could not look at one or more of the linked files, for one of three reasons: the host refused the identified client; the client's own compliance with the site's robots.txt kept it from the file; or it could not confirm the absence because the page carried more same-website links than the cap of twenty-five, or a server or network error occurred.</w:t>
      </w:r>
    </w:p>
    <w:p>
      <w:r>
        <w:rPr>
          <w:rFonts w:ascii="Calibri" w:hAnsi="Calibri"/>
          <w:b/>
          <w:sz w:val="21"/>
        </w:rPr>
        <w:t xml:space="preserve">Why it matters. </w:t>
      </w:r>
      <w:r>
        <w:rPr>
          <w:rFonts w:ascii="Calibri" w:hAnsi="Calibri"/>
          <w:sz w:val="21"/>
        </w:rPr>
        <w:t>A Data on the Web Best Practice says to let consumers retrieve the full dataset with a single request, and an OMB memo says that where there is significant public interest in taking information off an agency's pages, the agency should strongly consider offering it in bulk; the fifty kibibytes floor and the query-means-filtered rule are the project's own choices.</w:t>
      </w:r>
    </w:p>
    <w:p>
      <w:r>
        <w:rPr>
          <w:rFonts w:ascii="Calibri" w:hAnsi="Calibri"/>
          <w:b/>
          <w:sz w:val="21"/>
        </w:rPr>
        <w:t xml:space="preserve">Who else runs this check. </w:t>
      </w:r>
      <w:r>
        <w:rPr>
          <w:rFonts w:ascii="Calibri" w:hAnsi="Calibri"/>
          <w:sz w:val="21"/>
        </w:rPr>
        <w:t>Google Lighthouse runs this kind of check: anyone can run its automated checks against a named page, its criteria are published, and a result comes back met, not met, or not applicable. It does not run this exact one.</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robots.txt permits eight listed crawler tokens  — a declaration, read but not scored</w:t>
      </w:r>
    </w:p>
    <w:p>
      <w:r>
        <w:rPr>
          <w:rFonts w:ascii="Calibri" w:hAnsi="Calibri"/>
          <w:b/>
          <w:sz w:val="21"/>
        </w:rPr>
        <w:t xml:space="preserve">How this check counts. </w:t>
      </w:r>
      <w:r>
        <w:rPr>
          <w:rFonts w:ascii="Calibri" w:hAnsi="Calibri"/>
          <w:sz w:val="21"/>
        </w:rPr>
        <w:t>A declaration: this records what the agency states, read but not scored.</w:t>
      </w:r>
    </w:p>
    <w:p>
      <w:r>
        <w:rPr>
          <w:rFonts w:ascii="Calibri" w:hAnsi="Calibri"/>
          <w:b/>
          <w:sz w:val="21"/>
        </w:rPr>
        <w:t xml:space="preserve">The question. </w:t>
      </w:r>
      <w:r>
        <w:rPr>
          <w:rFonts w:ascii="Calibri" w:hAnsi="Calibri"/>
          <w:sz w:val="21"/>
        </w:rPr>
        <w:t>Does the host's stated policy in its robots.txt allow the crawlers that answer engines use to fetch the data page?</w:t>
      </w:r>
    </w:p>
    <w:p>
      <w:r>
        <w:rPr>
          <w:rFonts w:ascii="Calibri" w:hAnsi="Calibri"/>
          <w:b/>
          <w:sz w:val="21"/>
        </w:rPr>
        <w:t xml:space="preserve">Where we look. </w:t>
      </w:r>
      <w:r>
        <w:rPr>
          <w:rFonts w:ascii="Calibri" w:hAnsi="Calibri"/>
          <w:sz w:val="21"/>
        </w:rPr>
        <w:t>The single robots.txt file at the root of the agency's website, taken one host per agency.</w:t>
      </w:r>
    </w:p>
    <w:p>
      <w:r>
        <w:rPr>
          <w:rFonts w:ascii="Calibri" w:hAnsi="Calibri"/>
          <w:b/>
          <w:sz w:val="21"/>
        </w:rPr>
        <w:t xml:space="preserve">What the client does. </w:t>
      </w:r>
      <w:r>
        <w:rPr>
          <w:rFonts w:ascii="Calibri" w:hAnsi="Calibri"/>
          <w:sz w:val="21"/>
        </w:rPr>
        <w:t>The public client asks the website once for its robots.txt file and reads, for each of eight named crawler tokens, whether the stated rules allow the data page's path.</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An OMB memo asks agencies to use robots.txt so their pages can be found, and the crawler vendors' own pages say robots.txt is how a site controls which of their crawlers fetch it; reading a disallow of these particular eight tokens as a failure is the project's own rule, and the project has marked this check not yet valid.</w:t>
      </w:r>
    </w:p>
    <w:p>
      <w:r>
        <w:rPr>
          <w:rFonts w:ascii="Calibri" w:hAnsi="Calibri"/>
          <w:b/>
          <w:sz w:val="21"/>
        </w:rPr>
        <w:t xml:space="preserve">Who else runs this check. </w:t>
      </w:r>
      <w:r>
        <w:rPr>
          <w:rFonts w:ascii="Calibri" w:hAnsi="Calibri"/>
          <w:sz w:val="21"/>
        </w:rPr>
        <w:t>No public tool runs this exact check.</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The site's sitemap lists the data page</w:t>
      </w:r>
    </w:p>
    <w:p>
      <w:r>
        <w:rPr>
          <w:rFonts w:ascii="Calibri" w:hAnsi="Calibri"/>
          <w:b/>
          <w:sz w:val="21"/>
        </w:rPr>
        <w:t xml:space="preserve">How this check counts. </w:t>
      </w:r>
      <w:r>
        <w:rPr>
          <w:rFonts w:ascii="Calibri" w:hAnsi="Calibri"/>
          <w:sz w:val="21"/>
        </w:rPr>
        <w:t>Scored: a pass or fail here is a finding about the agency.</w:t>
      </w:r>
    </w:p>
    <w:p>
      <w:r>
        <w:rPr>
          <w:rFonts w:ascii="Calibri" w:hAnsi="Calibri"/>
          <w:b/>
          <w:sz w:val="21"/>
        </w:rPr>
        <w:t xml:space="preserve">The question. </w:t>
      </w:r>
      <w:r>
        <w:rPr>
          <w:rFonts w:ascii="Calibri" w:hAnsi="Calibri"/>
          <w:sz w:val="21"/>
        </w:rPr>
        <w:t>Is the agency's data page listed in a sitemap served on the agency's own website?</w:t>
      </w:r>
    </w:p>
    <w:p>
      <w:r>
        <w:rPr>
          <w:rFonts w:ascii="Calibri" w:hAnsi="Calibri"/>
          <w:b/>
          <w:sz w:val="21"/>
        </w:rPr>
        <w:t xml:space="preserve">Where we look. </w:t>
      </w:r>
      <w:r>
        <w:rPr>
          <w:rFonts w:ascii="Calibri" w:hAnsi="Calibri"/>
          <w:sz w:val="21"/>
        </w:rPr>
        <w:t>The sitemap files at the standard locations on the agency's own site (a sitemap, a sitemap index, and any sitemap the site's robots.txt names on that same site), plus an llms.txt and the well-known discovery paths.</w:t>
      </w:r>
    </w:p>
    <w:p>
      <w:r>
        <w:rPr>
          <w:rFonts w:ascii="Calibri" w:hAnsi="Calibri"/>
          <w:b/>
          <w:sz w:val="21"/>
        </w:rPr>
        <w:t xml:space="preserve">What the client does. </w:t>
      </w:r>
      <w:r>
        <w:rPr>
          <w:rFonts w:ascii="Calibri" w:hAnsi="Calibri"/>
          <w:sz w:val="21"/>
        </w:rPr>
        <w:t>The public client asks the website for each of those discovery files and reads whether any of them lists the data page's web address.</w:t>
      </w:r>
    </w:p>
    <w:p>
      <w:r>
        <w:rPr>
          <w:rFonts w:ascii="Calibri" w:hAnsi="Calibri"/>
          <w:b/>
          <w:sz w:val="21"/>
        </w:rPr>
        <w:t xml:space="preserve">What passing looks like. </w:t>
      </w:r>
      <w:r>
        <w:rPr>
          <w:rFonts w:ascii="Calibri" w:hAnsi="Calibri"/>
          <w:sz w:val="21"/>
        </w:rPr>
        <w:t>Every data page looked at was found listed: a sitemap served on the agency's own site carries the page's address exactly as the diagnostic records it.</w:t>
      </w:r>
    </w:p>
    <w:p>
      <w:r>
        <w:rPr>
          <w:rFonts w:ascii="Calibri" w:hAnsi="Calibri"/>
          <w:b/>
          <w:sz w:val="21"/>
        </w:rPr>
        <w:t xml:space="preserve">What partial, fail and not measured look like. </w:t>
      </w:r>
      <w:r>
        <w:rPr>
          <w:rFonts w:ascii="Calibri" w:hAnsi="Calibri"/>
          <w:sz w:val="21"/>
        </w:rPr>
        <w:t>Partial — Some of the agency's data pages are listed in a served sitemap and some are not. Fail — For every data page looked at, the sitemaps served on the agency's own site were read and none lists the page's address in exactly the recorded form (a trailing slash, redirect target or query-string variant does not match), or the only discovery file served is an llms.txt (which by its proposal summarises a site rather than listing every page), or no sitemap is served at the standard locations; the reason names which. It is not a claim that the page is absent from the sitemap in every form, nor that search engines cannot find the page, because well-linked pages are found without a sitemap. Not measured — The public client could not read one or more of the discovery files, for one of three reasons: the host refused the identified client, the client's own robots.txt compliance kept it from reading the file, or it could not confirm an absence or hit a server or network error.</w:t>
      </w:r>
    </w:p>
    <w:p>
      <w:r>
        <w:rPr>
          <w:rFonts w:ascii="Calibri" w:hAnsi="Calibri"/>
          <w:b/>
          <w:sz w:val="21"/>
        </w:rPr>
        <w:t xml:space="preserve">Why it matters. </w:t>
      </w:r>
      <w:r>
        <w:rPr>
          <w:rFonts w:ascii="Calibri" w:hAnsi="Calibri"/>
          <w:sz w:val="21"/>
        </w:rPr>
        <w:t>An OMB memo asks federal agencies to use sitemaps so their web content is easier to find, and a W3C practice (the sitemaps protocol) defines the sitemap file; the premise that an agency's data page is among the pages its owner thinks important is the project's own.</w:t>
      </w:r>
    </w:p>
    <w:p>
      <w:r>
        <w:rPr>
          <w:rFonts w:ascii="Calibri" w:hAnsi="Calibri"/>
          <w:b/>
          <w:sz w:val="21"/>
        </w:rPr>
        <w:t xml:space="preserve">Who else runs this check. </w:t>
      </w:r>
      <w:r>
        <w:rPr>
          <w:rFonts w:ascii="Calibri" w:hAnsi="Calibri"/>
          <w:sz w:val="21"/>
        </w:rPr>
        <w:t>No public tool runs this exact check.</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Page markup declares a named, described dataset</w:t>
      </w:r>
    </w:p>
    <w:p>
      <w:r>
        <w:rPr>
          <w:rFonts w:ascii="Calibri" w:hAnsi="Calibri"/>
          <w:b/>
          <w:sz w:val="21"/>
        </w:rPr>
        <w:t xml:space="preserve">How this check counts. </w:t>
      </w:r>
      <w:r>
        <w:rPr>
          <w:rFonts w:ascii="Calibri" w:hAnsi="Calibri"/>
          <w:sz w:val="21"/>
        </w:rPr>
        <w:t>Not scored as a finding about the agency: this version of the check measures something other than its question and is being revised.</w:t>
      </w:r>
    </w:p>
    <w:p>
      <w:r>
        <w:rPr>
          <w:rFonts w:ascii="Calibri" w:hAnsi="Calibri"/>
          <w:b/>
          <w:sz w:val="21"/>
        </w:rPr>
        <w:t xml:space="preserve">The question. </w:t>
      </w:r>
      <w:r>
        <w:rPr>
          <w:rFonts w:ascii="Calibri" w:hAnsi="Calibri"/>
          <w:sz w:val="21"/>
        </w:rPr>
        <w:t>Does the data page's own markup tell a machine that the page describes a named, described dataset?</w:t>
      </w:r>
    </w:p>
    <w:p>
      <w:r>
        <w:rPr>
          <w:rFonts w:ascii="Calibri" w:hAnsi="Calibri"/>
          <w:b/>
          <w:sz w:val="21"/>
        </w:rPr>
        <w:t xml:space="preserve">Where we look. </w:t>
      </w:r>
      <w:r>
        <w:rPr>
          <w:rFonts w:ascii="Calibri" w:hAnsi="Calibri"/>
          <w:sz w:val="21"/>
        </w:rPr>
        <w:t>The data page itself, reading the structured markup embedded in the page as it is served.</w:t>
      </w:r>
    </w:p>
    <w:p>
      <w:r>
        <w:rPr>
          <w:rFonts w:ascii="Calibri" w:hAnsi="Calibri"/>
          <w:b/>
          <w:sz w:val="21"/>
        </w:rPr>
        <w:t xml:space="preserve">What the client does. </w:t>
      </w:r>
      <w:r>
        <w:rPr>
          <w:rFonts w:ascii="Calibri" w:hAnsi="Calibri"/>
          <w:sz w:val="21"/>
        </w:rPr>
        <w:t>The public client asks the website for the data page once and reads the structured markup in what comes back, without running any of the page's scripts.</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A W3C practice (the schema.org dataset vocabulary) lets a page declare itself a dataset with a name and description so search and answer engines recognise it, and USAFacts' AI-ready data guide asks publishers to align with standard schemas and well-structured metadata.</w:t>
      </w:r>
    </w:p>
    <w:p>
      <w:r>
        <w:rPr>
          <w:rFonts w:ascii="Calibri" w:hAnsi="Calibri"/>
          <w:b/>
          <w:sz w:val="21"/>
        </w:rPr>
        <w:t xml:space="preserve">Who else runs this check. </w:t>
      </w:r>
      <w:r>
        <w:rPr>
          <w:rFonts w:ascii="Calibri" w:hAnsi="Calibri"/>
          <w:sz w:val="21"/>
        </w:rPr>
        <w:t>Google Lighthouse is the nearest precedent: anyone can run its automated page-level checks against a named page and get back met, not met, or not applicable against published criteria.</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Markup dates the data; a latest-version link resolves</w:t>
      </w:r>
    </w:p>
    <w:p>
      <w:r>
        <w:rPr>
          <w:rFonts w:ascii="Calibri" w:hAnsi="Calibri"/>
          <w:b/>
          <w:sz w:val="21"/>
        </w:rPr>
        <w:t xml:space="preserve">How this check counts. </w:t>
      </w:r>
      <w:r>
        <w:rPr>
          <w:rFonts w:ascii="Calibri" w:hAnsi="Calibri"/>
          <w:sz w:val="21"/>
        </w:rPr>
        <w:t>Shown for transparency, not scored as a finding about the agency: at least one part of this check rests on a rule this project chose, not a published standard.</w:t>
      </w:r>
    </w:p>
    <w:p>
      <w:r>
        <w:rPr>
          <w:rFonts w:ascii="Calibri" w:hAnsi="Calibri"/>
          <w:b/>
          <w:sz w:val="21"/>
        </w:rPr>
        <w:t xml:space="preserve">The question. </w:t>
      </w:r>
      <w:r>
        <w:rPr>
          <w:rFonts w:ascii="Calibri" w:hAnsi="Calibri"/>
          <w:sz w:val="21"/>
        </w:rPr>
        <w:t>Can a machine read which release of the data the page is showing, and follow a link to the latest release?</w:t>
      </w:r>
    </w:p>
    <w:p>
      <w:r>
        <w:rPr>
          <w:rFonts w:ascii="Calibri" w:hAnsi="Calibri"/>
          <w:b/>
          <w:sz w:val="21"/>
        </w:rPr>
        <w:t xml:space="preserve">Where we look. </w:t>
      </w:r>
      <w:r>
        <w:rPr>
          <w:rFonts w:ascii="Calibri" w:hAnsi="Calibri"/>
          <w:sz w:val="21"/>
        </w:rPr>
        <w:t>The data page itself (its structured date markup and the server's last-modified header) and up to three links on the same site that point to the latest version.</w:t>
      </w:r>
    </w:p>
    <w:p>
      <w:r>
        <w:rPr>
          <w:rFonts w:ascii="Calibri" w:hAnsi="Calibri"/>
          <w:b/>
          <w:sz w:val="21"/>
        </w:rPr>
        <w:t xml:space="preserve">What the client does. </w:t>
      </w:r>
      <w:r>
        <w:rPr>
          <w:rFonts w:ascii="Calibri" w:hAnsi="Calibri"/>
          <w:sz w:val="21"/>
        </w:rPr>
        <w:t>The public client asks the website for the data page, reads its date markup and header, and follows up to three same-site latest-version links to see whether they resolve.</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A Data on the Web Best Practice asks that a machine be able to detect a dataset's version or date and refer to its latest version, and USAFacts' AI-ready data guide asks that the most recent update be retrievable by a machine; the requirement that a latest-version link actually resolve is the project's own rule.</w:t>
      </w:r>
    </w:p>
    <w:p>
      <w:r>
        <w:rPr>
          <w:rFonts w:ascii="Calibri" w:hAnsi="Calibri"/>
          <w:b/>
          <w:sz w:val="21"/>
        </w:rPr>
        <w:t xml:space="preserve">Who else runs this check. </w:t>
      </w:r>
      <w:r>
        <w:rPr>
          <w:rFonts w:ascii="Calibri" w:hAnsi="Calibri"/>
          <w:sz w:val="21"/>
        </w:rPr>
        <w:t>Google Lighthouse is the nearest precedent: anyone can run its automated page-level checks against a named page and get back met, not met, or not applicable against published criteria.</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A machine address returns a non-page file</w:t>
      </w:r>
    </w:p>
    <w:p>
      <w:r>
        <w:rPr>
          <w:rFonts w:ascii="Calibri" w:hAnsi="Calibri"/>
          <w:b/>
          <w:sz w:val="21"/>
        </w:rPr>
        <w:t xml:space="preserve">How this check counts. </w:t>
      </w:r>
      <w:r>
        <w:rPr>
          <w:rFonts w:ascii="Calibri" w:hAnsi="Calibri"/>
          <w:sz w:val="21"/>
        </w:rPr>
        <w:t>Shown for transparency, not scored as a finding about the agency: at least one part of this check rests on a rule this project chose, not a published standard.</w:t>
      </w:r>
    </w:p>
    <w:p>
      <w:r>
        <w:rPr>
          <w:rFonts w:ascii="Calibri" w:hAnsi="Calibri"/>
          <w:b/>
          <w:sz w:val="21"/>
        </w:rPr>
        <w:t xml:space="preserve">The question. </w:t>
      </w:r>
      <w:r>
        <w:rPr>
          <w:rFonts w:ascii="Calibri" w:hAnsi="Calibri"/>
          <w:sz w:val="21"/>
        </w:rPr>
        <w:t>Does the agency serve an entry point built for machine clients, such as a machine-readable API description, an agent-protocol address, or an llms.txt, at the addresses machine clients look first?</w:t>
      </w:r>
    </w:p>
    <w:p>
      <w:r>
        <w:rPr>
          <w:rFonts w:ascii="Calibri" w:hAnsi="Calibri"/>
          <w:b/>
          <w:sz w:val="21"/>
        </w:rPr>
        <w:t xml:space="preserve">Where we look. </w:t>
      </w:r>
      <w:r>
        <w:rPr>
          <w:rFonts w:ascii="Calibri" w:hAnsi="Calibri"/>
          <w:sz w:val="21"/>
        </w:rPr>
        <w:t>A fixed handful of machine addresses this project checks on the agency's site: the recorded API base and its description, the /.well-known/mcp path, and /llms.txt.</w:t>
      </w:r>
    </w:p>
    <w:p>
      <w:r>
        <w:rPr>
          <w:rFonts w:ascii="Calibri" w:hAnsi="Calibri"/>
          <w:b/>
          <w:sz w:val="21"/>
        </w:rPr>
        <w:t xml:space="preserve">What the client does. </w:t>
      </w:r>
      <w:r>
        <w:rPr>
          <w:rFonts w:ascii="Calibri" w:hAnsi="Calibri"/>
          <w:sz w:val="21"/>
        </w:rPr>
        <w:t>The public client asks the website for each address in that fixed set with a plain request, no key and no special accept header, and reads the status, content type and body length.</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This is the project's own rule: no published standard defines this entry point or the set of addresses to serve it at. Its motivation draws on a FAIR letter (data retrievable by a standardised protocol) and the llms.txt proposal, but neither defines the check.</w:t>
      </w:r>
    </w:p>
    <w:p>
      <w:r>
        <w:rPr>
          <w:rFonts w:ascii="Calibri" w:hAnsi="Calibri"/>
          <w:b/>
          <w:sz w:val="21"/>
        </w:rPr>
        <w:t xml:space="preserve">Who else runs this check. </w:t>
      </w:r>
      <w:r>
        <w:rPr>
          <w:rFonts w:ascii="Calibri" w:hAnsi="Calibri"/>
          <w:sz w:val="21"/>
        </w:rPr>
        <w:t>No public tool runs this exact check.</w:t>
      </w:r>
    </w:p>
    <w:p>
      <w:r>
        <w:rPr>
          <w:rFonts w:ascii="Calibri" w:hAnsi="Calibri"/>
          <w:b/>
          <w:sz w:val="21"/>
        </w:rPr>
        <w:t xml:space="preserve">What rung two changes. </w:t>
      </w:r>
      <w:r>
        <w:rPr>
          <w:rFonts w:ascii="Calibri" w:hAnsi="Calibri"/>
          <w:sz w:val="21"/>
        </w:rPr>
        <w:t>This check requests with no key, so a registered public client that presents a key could change the result here: an API that answers only a key-bearing request could return machine content on a second look where the bare request got an HTML or error page.</w:t>
      </w:r>
    </w:p>
    <w:p>
      <w:r>
        <w:br w:type="page"/>
      </w:r>
    </w:p>
    <w:p>
      <w:r>
        <w:rPr>
          <w:rFonts w:ascii="Calibri" w:hAnsi="Calibri"/>
          <w:b/>
          <w:sz w:val="26"/>
        </w:rPr>
        <w:t>Data tool answers with real status and content</w:t>
      </w:r>
    </w:p>
    <w:p>
      <w:r>
        <w:rPr>
          <w:rFonts w:ascii="Calibri" w:hAnsi="Calibri"/>
          <w:b/>
          <w:sz w:val="21"/>
        </w:rPr>
        <w:t xml:space="preserve">How this check counts. </w:t>
      </w:r>
      <w:r>
        <w:rPr>
          <w:rFonts w:ascii="Calibri" w:hAnsi="Calibri"/>
          <w:sz w:val="21"/>
        </w:rPr>
        <w:t>Shown for transparency, not scored as a finding about the agency: at least one part of this check rests on a rule this project chose, not a published standard.</w:t>
      </w:r>
    </w:p>
    <w:p>
      <w:r>
        <w:rPr>
          <w:rFonts w:ascii="Calibri" w:hAnsi="Calibri"/>
          <w:b/>
          <w:sz w:val="21"/>
        </w:rPr>
        <w:t xml:space="preserve">The question. </w:t>
      </w:r>
      <w:r>
        <w:rPr>
          <w:rFonts w:ascii="Calibri" w:hAnsi="Calibri"/>
          <w:sz w:val="21"/>
        </w:rPr>
        <w:t>Does the agency's interactive data tool answer a machine honestly — real content at a direct link, and a real "not found" error for a web address that does not exist?</w:t>
      </w:r>
    </w:p>
    <w:p>
      <w:r>
        <w:rPr>
          <w:rFonts w:ascii="Calibri" w:hAnsi="Calibri"/>
          <w:b/>
          <w:sz w:val="21"/>
        </w:rPr>
        <w:t xml:space="preserve">Where we look. </w:t>
      </w:r>
      <w:r>
        <w:rPr>
          <w:rFonts w:ascii="Calibri" w:hAnsi="Calibri"/>
          <w:sz w:val="21"/>
        </w:rPr>
        <w:t>At the one interactive data tool the agency offers, looked at from the site level: its direct link to a product, and a made-up address beneath that tool.</w:t>
      </w:r>
    </w:p>
    <w:p>
      <w:r>
        <w:rPr>
          <w:rFonts w:ascii="Calibri" w:hAnsi="Calibri"/>
          <w:b/>
          <w:sz w:val="21"/>
        </w:rPr>
        <w:t xml:space="preserve">What the client does. </w:t>
      </w:r>
      <w:r>
        <w:rPr>
          <w:rFonts w:ascii="Calibri" w:hAnsi="Calibri"/>
          <w:sz w:val="21"/>
        </w:rPr>
        <w:t>The public client asks for the tool's direct link, then asks for a made-up address under the same tool that should not exist, and reads what each answer returns.</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An RFC defines what a real "not found" answer is, and Google's crawler documentation treats an "OK" page that is really an error as a problem, not a page; a Data on the Web Best Practice expects programmatic access to return the responses a client expects. The rule that at least two thousand characters be present before scripts run is the project's own choice.</w:t>
      </w:r>
    </w:p>
    <w:p>
      <w:r>
        <w:rPr>
          <w:rFonts w:ascii="Calibri" w:hAnsi="Calibri"/>
          <w:b/>
          <w:sz w:val="21"/>
        </w:rPr>
        <w:t xml:space="preserve">Who else runs this check. </w:t>
      </w:r>
      <w:r>
        <w:rPr>
          <w:rFonts w:ascii="Calibri" w:hAnsi="Calibri"/>
          <w:sz w:val="21"/>
        </w:rPr>
        <w:t>No public tool runs this exact check.</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(no short name)  — a declaration, read but not scored</w:t>
      </w:r>
    </w:p>
    <w:p>
      <w:r>
        <w:rPr>
          <w:rFonts w:ascii="Calibri" w:hAnsi="Calibri"/>
          <w:b/>
          <w:sz w:val="21"/>
        </w:rPr>
        <w:t xml:space="preserve">How this check counts. </w:t>
      </w:r>
      <w:r>
        <w:rPr>
          <w:rFonts w:ascii="Calibri" w:hAnsi="Calibri"/>
          <w:sz w:val="21"/>
        </w:rPr>
        <w:t>A declaration: this records what the agency states, read but not scored.</w:t>
      </w:r>
    </w:p>
    <w:p>
      <w:r>
        <w:rPr>
          <w:rFonts w:ascii="Calibri" w:hAnsi="Calibri"/>
          <w:b/>
          <w:sz w:val="21"/>
        </w:rPr>
        <w:t xml:space="preserve">The question. </w:t>
      </w:r>
      <w:r>
        <w:rPr>
          <w:rFonts w:ascii="Calibri" w:hAnsi="Calibri"/>
          <w:sz w:val="21"/>
        </w:rPr>
        <w:t>What does the host say in writing about letting crawlers reach the data page, in both places such a statement can live — the site's robots.txt file and the page's robots meta tags?</w:t>
      </w:r>
    </w:p>
    <w:p>
      <w:r>
        <w:rPr>
          <w:rFonts w:ascii="Calibri" w:hAnsi="Calibri"/>
          <w:b/>
          <w:sz w:val="21"/>
        </w:rPr>
        <w:t xml:space="preserve">Where we look. </w:t>
      </w:r>
      <w:r>
        <w:rPr>
          <w:rFonts w:ascii="Calibri" w:hAnsi="Calibri"/>
          <w:sz w:val="21"/>
        </w:rPr>
        <w:t>At the site's robots.txt file and at the robots meta tags carried on the data page.</w:t>
      </w:r>
    </w:p>
    <w:p>
      <w:r>
        <w:rPr>
          <w:rFonts w:ascii="Calibri" w:hAnsi="Calibri"/>
          <w:b/>
          <w:sz w:val="21"/>
        </w:rPr>
        <w:t xml:space="preserve">What the client does. </w:t>
      </w:r>
      <w:r>
        <w:rPr>
          <w:rFonts w:ascii="Calibri" w:hAnsi="Calibri"/>
          <w:sz w:val="21"/>
        </w:rPr>
        <w:t>The public client asks for the robots.txt file and reads the data page's robots meta tags, then checks what each says about the same eight listed crawler names.</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An RFC on robots.txt defines the file and states plainly that its rules are not a form of access authorization, and Google's crawler documentation defines the robots meta tag and notes those settings can be followed only if crawlers are allowed to read the pages that carry them. This is a declaration: it records what the agency states, read but not scored.</w:t>
      </w:r>
    </w:p>
    <w:p>
      <w:r>
        <w:rPr>
          <w:rFonts w:ascii="Calibri" w:hAnsi="Calibri"/>
          <w:b/>
          <w:sz w:val="21"/>
        </w:rPr>
        <w:t xml:space="preserve">Who else runs this check. </w:t>
      </w:r>
      <w:r>
        <w:rPr>
          <w:rFonts w:ascii="Calibri" w:hAnsi="Calibri"/>
          <w:sz w:val="21"/>
        </w:rPr>
        <w:t>No public tool runs this exact check.</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Host serves the path its robots.txt permits  — under review, not scored yet</w:t>
      </w:r>
    </w:p>
    <w:p>
      <w:r>
        <w:rPr>
          <w:rFonts w:ascii="Calibri" w:hAnsi="Calibri"/>
          <w:b/>
          <w:sz w:val="21"/>
        </w:rPr>
        <w:t xml:space="preserve">How this check counts. </w:t>
      </w:r>
      <w:r>
        <w:rPr>
          <w:rFonts w:ascii="Calibri" w:hAnsi="Calibri"/>
          <w:sz w:val="21"/>
        </w:rPr>
        <w:t>Under review: this check is not scored yet.</w:t>
      </w:r>
    </w:p>
    <w:p>
      <w:r>
        <w:rPr>
          <w:rFonts w:ascii="Calibri" w:hAnsi="Calibri"/>
          <w:b/>
          <w:sz w:val="21"/>
        </w:rPr>
        <w:t xml:space="preserve">The question. </w:t>
      </w:r>
      <w:r>
        <w:rPr>
          <w:rFonts w:ascii="Calibri" w:hAnsi="Calibri"/>
          <w:sz w:val="21"/>
        </w:rPr>
        <w:t>Does the host actually serve the data page to an identified, compliant client when its own robots.txt says it may?</w:t>
      </w:r>
    </w:p>
    <w:p>
      <w:r>
        <w:rPr>
          <w:rFonts w:ascii="Calibri" w:hAnsi="Calibri"/>
          <w:b/>
          <w:sz w:val="21"/>
        </w:rPr>
        <w:t xml:space="preserve">Where we look. </w:t>
      </w:r>
      <w:r>
        <w:rPr>
          <w:rFonts w:ascii="Calibri" w:hAnsi="Calibri"/>
          <w:sz w:val="21"/>
        </w:rPr>
        <w:t>At the site's robots.txt file and at the data page's web address, both requested as the same identified client.</w:t>
      </w:r>
    </w:p>
    <w:p>
      <w:r>
        <w:rPr>
          <w:rFonts w:ascii="Calibri" w:hAnsi="Calibri"/>
          <w:b/>
          <w:sz w:val="21"/>
        </w:rPr>
        <w:t xml:space="preserve">What the client does. </w:t>
      </w:r>
      <w:r>
        <w:rPr>
          <w:rFonts w:ascii="Calibri" w:hAnsi="Calibri"/>
          <w:sz w:val="21"/>
        </w:rPr>
        <w:t>The public client asks for the robots.txt file, then asks for the data page itself as the same identified client, and compares what robots.txt permits with what the host actually served.</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An RFC on robots.txt states that its rules are not a form of access authorization and are not a substitute for valid content security measures; the idea that a host's enforcement should match its declaration is this project's own construct. This check is under review and not scored yet.</w:t>
      </w:r>
    </w:p>
    <w:p>
      <w:r>
        <w:rPr>
          <w:rFonts w:ascii="Calibri" w:hAnsi="Calibri"/>
          <w:b/>
          <w:sz w:val="21"/>
        </w:rPr>
        <w:t xml:space="preserve">Who else runs this check. </w:t>
      </w:r>
      <w:r>
        <w:rPr>
          <w:rFonts w:ascii="Calibri" w:hAnsi="Calibri"/>
          <w:sz w:val="21"/>
        </w:rPr>
        <w:t>No public tool runs this exact check.</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Page reaches the agency's API, terms, changelog, inventory</w:t>
      </w:r>
    </w:p>
    <w:p>
      <w:r>
        <w:rPr>
          <w:rFonts w:ascii="Calibri" w:hAnsi="Calibri"/>
          <w:b/>
          <w:sz w:val="21"/>
        </w:rPr>
        <w:t xml:space="preserve">How this check counts. </w:t>
      </w:r>
      <w:r>
        <w:rPr>
          <w:rFonts w:ascii="Calibri" w:hAnsi="Calibri"/>
          <w:sz w:val="21"/>
        </w:rPr>
        <w:t>Shown for transparency, not scored as a finding about the agency: at least one part of this check rests on a rule this project chose, not a published standard.</w:t>
      </w:r>
    </w:p>
    <w:p>
      <w:r>
        <w:rPr>
          <w:rFonts w:ascii="Calibri" w:hAnsi="Calibri"/>
          <w:b/>
          <w:sz w:val="21"/>
        </w:rPr>
        <w:t xml:space="preserve">The question. </w:t>
      </w:r>
      <w:r>
        <w:rPr>
          <w:rFonts w:ascii="Calibri" w:hAnsi="Calibri"/>
          <w:sz w:val="21"/>
        </w:rPr>
        <w:t>Starting at one of the agency's data pages and knowing nothing else, can a machine client reach the four things an agency publishes for machines — its data service (its API), that service's terms, its changelog, and its data inventory?</w:t>
      </w:r>
    </w:p>
    <w:p>
      <w:r>
        <w:rPr>
          <w:rFonts w:ascii="Calibri" w:hAnsi="Calibri"/>
          <w:b/>
          <w:sz w:val="21"/>
        </w:rPr>
        <w:t xml:space="preserve">Where we look. </w:t>
      </w:r>
      <w:r>
        <w:rPr>
          <w:rFonts w:ascii="Calibri" w:hAnsi="Calibri"/>
          <w:sz w:val="21"/>
        </w:rPr>
        <w:t>At one of the agency's data pages — its links and its response headers — and at the recorded locations where each of the four objects was reported to sit.</w:t>
      </w:r>
    </w:p>
    <w:p>
      <w:r>
        <w:rPr>
          <w:rFonts w:ascii="Calibri" w:hAnsi="Calibri"/>
          <w:b/>
          <w:sz w:val="21"/>
        </w:rPr>
        <w:t xml:space="preserve">What the client does. </w:t>
      </w:r>
      <w:r>
        <w:rPr>
          <w:rFonts w:ascii="Calibri" w:hAnsi="Calibri"/>
          <w:sz w:val="21"/>
        </w:rPr>
        <w:t>The public client makes no new request of its own; it reuses what other checks already fetched: the data page's links and headers, and whether each object was served where it was recorded.</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An RFC on API catalogs defines how a publisher announces its data service at a standard address, and an OMB memo requires each agency to post its data inventory at a set data.json address. Reaching the service's terms or changelog by an ordinary link, and combining the four objects into one result, are the project's own rules.</w:t>
      </w:r>
    </w:p>
    <w:p>
      <w:r>
        <w:rPr>
          <w:rFonts w:ascii="Calibri" w:hAnsi="Calibri"/>
          <w:b/>
          <w:sz w:val="21"/>
        </w:rPr>
        <w:t xml:space="preserve">Who else runs this check. </w:t>
      </w:r>
      <w:r>
        <w:rPr>
          <w:rFonts w:ascii="Calibri" w:hAnsi="Calibri"/>
          <w:sz w:val="21"/>
        </w:rPr>
        <w:t>No public tool runs this exact check.</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Page links a methodology readable as text</w:t>
      </w:r>
    </w:p>
    <w:p>
      <w:r>
        <w:rPr>
          <w:rFonts w:ascii="Calibri" w:hAnsi="Calibri"/>
          <w:b/>
          <w:sz w:val="21"/>
        </w:rPr>
        <w:t xml:space="preserve">How this check counts. </w:t>
      </w:r>
      <w:r>
        <w:rPr>
          <w:rFonts w:ascii="Calibri" w:hAnsi="Calibri"/>
          <w:sz w:val="21"/>
        </w:rPr>
        <w:t>Shown for transparency, not scored as a finding about the agency: at least one part of this check rests on a rule this project chose, not a published standard.</w:t>
      </w:r>
    </w:p>
    <w:p>
      <w:r>
        <w:rPr>
          <w:rFonts w:ascii="Calibri" w:hAnsi="Calibri"/>
          <w:b/>
          <w:sz w:val="21"/>
        </w:rPr>
        <w:t xml:space="preserve">The question. </w:t>
      </w:r>
      <w:r>
        <w:rPr>
          <w:rFonts w:ascii="Calibri" w:hAnsi="Calibri"/>
          <w:sz w:val="21"/>
        </w:rPr>
        <w:t>Can a machine reach the methodology behind the data and read it as plain text, without having to run scripts?</w:t>
      </w:r>
    </w:p>
    <w:p>
      <w:r>
        <w:rPr>
          <w:rFonts w:ascii="Calibri" w:hAnsi="Calibri"/>
          <w:b/>
          <w:sz w:val="21"/>
        </w:rPr>
        <w:t xml:space="preserve">Where we look. </w:t>
      </w:r>
      <w:r>
        <w:rPr>
          <w:rFonts w:ascii="Calibri" w:hAnsi="Calibri"/>
          <w:sz w:val="21"/>
        </w:rPr>
        <w:t>The data product page itself, and any link on it whose web address or wording contains the word "methodology" (up to twenty-five such links).</w:t>
      </w:r>
    </w:p>
    <w:p>
      <w:r>
        <w:rPr>
          <w:rFonts w:ascii="Calibri" w:hAnsi="Calibri"/>
          <w:b/>
          <w:sz w:val="21"/>
        </w:rPr>
        <w:t xml:space="preserve">What the client does. </w:t>
      </w:r>
      <w:r>
        <w:rPr>
          <w:rFonts w:ascii="Calibri" w:hAnsi="Calibri"/>
          <w:sz w:val="21"/>
        </w:rPr>
        <w:t>The public client opens the data page and then opens each of those methodology links to read what the document actually sends.</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A published guide on readable data documentation asks that text documentation, methodology included, be reachable by people and by web crawlers, and an OMB memo asks agencies to default web content to a plain web page rather than another format. The added rule that the text be readable before any script runs is the project's own reading of "reachable by crawlers", since many crawlers do not run scripts.</w:t>
      </w:r>
    </w:p>
    <w:p>
      <w:r>
        <w:rPr>
          <w:rFonts w:ascii="Calibri" w:hAnsi="Calibri"/>
          <w:b/>
          <w:sz w:val="21"/>
        </w:rPr>
        <w:t xml:space="preserve">Who else runs this check. </w:t>
      </w:r>
      <w:r>
        <w:rPr>
          <w:rFonts w:ascii="Calibri" w:hAnsi="Calibri"/>
          <w:sz w:val="21"/>
        </w:rPr>
        <w:t>No public tool runs this exact check.</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Page or API terms name a recognised licence</w:t>
      </w:r>
    </w:p>
    <w:p>
      <w:r>
        <w:rPr>
          <w:rFonts w:ascii="Calibri" w:hAnsi="Calibri"/>
          <w:b/>
          <w:sz w:val="21"/>
        </w:rPr>
        <w:t xml:space="preserve">How this check counts. </w:t>
      </w:r>
      <w:r>
        <w:rPr>
          <w:rFonts w:ascii="Calibri" w:hAnsi="Calibri"/>
          <w:sz w:val="21"/>
        </w:rPr>
        <w:t>Shown for transparency, not scored as a finding about the agency: at least one part of this check rests on a rule this project chose, not a published standard.</w:t>
      </w:r>
    </w:p>
    <w:p>
      <w:r>
        <w:rPr>
          <w:rFonts w:ascii="Calibri" w:hAnsi="Calibri"/>
          <w:b/>
          <w:sz w:val="21"/>
        </w:rPr>
        <w:t xml:space="preserve">The question. </w:t>
      </w:r>
      <w:r>
        <w:rPr>
          <w:rFonts w:ascii="Calibri" w:hAnsi="Calibri"/>
          <w:sz w:val="21"/>
        </w:rPr>
        <w:t>Can a machine tell, from a recognised name, on what terms it may reuse the data?</w:t>
      </w:r>
    </w:p>
    <w:p>
      <w:r>
        <w:rPr>
          <w:rFonts w:ascii="Calibri" w:hAnsi="Calibri"/>
          <w:b/>
          <w:sz w:val="21"/>
        </w:rPr>
        <w:t xml:space="preserve">Where we look. </w:t>
      </w:r>
      <w:r>
        <w:rPr>
          <w:rFonts w:ascii="Calibri" w:hAnsi="Calibri"/>
          <w:sz w:val="21"/>
        </w:rPr>
        <w:t>The licence field in the data page's markup, a licence link sent in the page's response headers, and, when an interface for developers is on record, that interface's terms page.</w:t>
      </w:r>
    </w:p>
    <w:p>
      <w:r>
        <w:rPr>
          <w:rFonts w:ascii="Calibri" w:hAnsi="Calibri"/>
          <w:b/>
          <w:sz w:val="21"/>
        </w:rPr>
        <w:t xml:space="preserve">What the client does. </w:t>
      </w:r>
      <w:r>
        <w:rPr>
          <w:rFonts w:ascii="Calibri" w:hAnsi="Calibri"/>
          <w:sz w:val="21"/>
        </w:rPr>
        <w:t>The public client opens the data page and reads its licence markup and any licence link in the response, and when a developer interface is on record it also opens that interface's terms page.</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A Data on the Web Best Practice asks that a licence be stated so a machine can find it; an OMB memo lets a federal agency meet the open-licence requirement by marking the asset public domain in its inventory; the US DCAT schema carries a licence-or-public-domain field; and the SPDX licence list supplies the recognised identifiers. The extra demand that a detected licence be given as an identifier rather than in words is the project's own rule.</w:t>
      </w:r>
    </w:p>
    <w:p>
      <w:r>
        <w:rPr>
          <w:rFonts w:ascii="Calibri" w:hAnsi="Calibri"/>
          <w:b/>
          <w:sz w:val="21"/>
        </w:rPr>
        <w:t xml:space="preserve">Who else runs this check. </w:t>
      </w:r>
      <w:r>
        <w:rPr>
          <w:rFonts w:ascii="Calibri" w:hAnsi="Calibri"/>
          <w:sz w:val="21"/>
        </w:rPr>
        <w:t>No public tool runs this exact check.</w:t>
      </w:r>
    </w:p>
    <w:p>
      <w:r>
        <w:rPr>
          <w:rFonts w:ascii="Calibri" w:hAnsi="Calibri"/>
          <w:b/>
          <w:sz w:val="21"/>
        </w:rPr>
        <w:t xml:space="preserve">What rung two changes. </w:t>
      </w:r>
      <w:r>
        <w:rPr>
          <w:rFonts w:ascii="Calibri" w:hAnsi="Calibri"/>
          <w:sz w:val="21"/>
        </w:rPr>
        <w:t>A public key could let the client reach a developer interface's terms page that is shown only to registered developers; the page-markup and response-header checks need no key.</w:t>
      </w:r>
    </w:p>
    <w:p>
      <w:r>
        <w:br w:type="page"/>
      </w:r>
    </w:p>
    <w:p>
      <w:r>
        <w:rPr>
          <w:rFonts w:ascii="Calibri" w:hAnsi="Calibri"/>
          <w:b/>
          <w:sz w:val="26"/>
        </w:rPr>
        <w:t>Agency's data.json inventory lists this page, validly</w:t>
      </w:r>
    </w:p>
    <w:p>
      <w:r>
        <w:rPr>
          <w:rFonts w:ascii="Calibri" w:hAnsi="Calibri"/>
          <w:b/>
          <w:sz w:val="21"/>
        </w:rPr>
        <w:t xml:space="preserve">How this check counts. </w:t>
      </w:r>
      <w:r>
        <w:rPr>
          <w:rFonts w:ascii="Calibri" w:hAnsi="Calibri"/>
          <w:sz w:val="21"/>
        </w:rPr>
        <w:t>Scored: a pass or fail here is a finding about the agency.</w:t>
      </w:r>
    </w:p>
    <w:p>
      <w:r>
        <w:rPr>
          <w:rFonts w:ascii="Calibri" w:hAnsi="Calibri"/>
          <w:b/>
          <w:sz w:val="21"/>
        </w:rPr>
        <w:t xml:space="preserve">The question. </w:t>
      </w:r>
      <w:r>
        <w:rPr>
          <w:rFonts w:ascii="Calibri" w:hAnsi="Calibri"/>
          <w:sz w:val="21"/>
        </w:rPr>
        <w:t>Is this data product listed, in a valid record, in the agency's public data inventory?</w:t>
      </w:r>
    </w:p>
    <w:p>
      <w:r>
        <w:rPr>
          <w:rFonts w:ascii="Calibri" w:hAnsi="Calibri"/>
          <w:b/>
          <w:sz w:val="21"/>
        </w:rPr>
        <w:t xml:space="preserve">Where we look. </w:t>
      </w:r>
      <w:r>
        <w:rPr>
          <w:rFonts w:ascii="Calibri" w:hAnsi="Calibri"/>
          <w:sz w:val="21"/>
        </w:rPr>
        <w:t>The agency's public data inventory at each location on record for it — its own data.json file, or a catalog recorded for the agency.</w:t>
      </w:r>
    </w:p>
    <w:p>
      <w:r>
        <w:rPr>
          <w:rFonts w:ascii="Calibri" w:hAnsi="Calibri"/>
          <w:b/>
          <w:sz w:val="21"/>
        </w:rPr>
        <w:t xml:space="preserve">What the client does. </w:t>
      </w:r>
      <w:r>
        <w:rPr>
          <w:rFonts w:ascii="Calibri" w:hAnsi="Calibri"/>
          <w:sz w:val="21"/>
        </w:rPr>
        <w:t>The public client opens the inventory at each recorded location, checks it against the federal metadata schema, and looks for a record that names this data page's address.</w:t>
      </w:r>
    </w:p>
    <w:p>
      <w:r>
        <w:rPr>
          <w:rFonts w:ascii="Calibri" w:hAnsi="Calibri"/>
          <w:b/>
          <w:sz w:val="21"/>
        </w:rPr>
        <w:t xml:space="preserve">What passing looks like. </w:t>
      </w:r>
      <w:r>
        <w:rPr>
          <w:rFonts w:ascii="Calibri" w:hAnsi="Calibri"/>
          <w:sz w:val="21"/>
        </w:rPr>
        <w:t>Every data page that was looked at appears in a record that names its address in a DCAT-US address field, inside an inventory that conforms to the federal metadata schema.</w:t>
      </w:r>
    </w:p>
    <w:p>
      <w:r>
        <w:rPr>
          <w:rFonts w:ascii="Calibri" w:hAnsi="Calibri"/>
          <w:b/>
          <w:sz w:val="21"/>
        </w:rPr>
        <w:t xml:space="preserve">What partial, fail and not measured look like. </w:t>
      </w:r>
      <w:r>
        <w:rPr>
          <w:rFonts w:ascii="Calibri" w:hAnsi="Calibri"/>
          <w:sz w:val="21"/>
        </w:rPr>
        <w:t>Partial — Some of the agency's data pages that were looked at met this and some did not. Fail — For every data page looked at, one of three things named in the result's reason: the recorded inventory was read and no record names this page's address; or the page is listed but the inventory as a whole fails the schema, possibly in an unrelated record; or no inventory is served at any recorded address. It is not a claim that the dataset is missing from the inventory under some other address, nor that the agency has no inventory at an address not on record for it, such as a parent department's. Not measured — The public client could not finish looking at one or more pages, for one of three reasons: the host turned the identified client away; the client's own honoring of the site's robots.txt stopped it reading the inventory; or a recorded inventory could not be confirmed, or a starting source was not searched, because of a server or network error.</w:t>
      </w:r>
    </w:p>
    <w:p>
      <w:r>
        <w:rPr>
          <w:rFonts w:ascii="Calibri" w:hAnsi="Calibri"/>
          <w:b/>
          <w:sz w:val="21"/>
        </w:rPr>
        <w:t xml:space="preserve">Why it matters. </w:t>
      </w:r>
      <w:r>
        <w:rPr>
          <w:rFonts w:ascii="Calibri" w:hAnsi="Calibri"/>
          <w:sz w:val="21"/>
        </w:rPr>
        <w:t>An OMB memo requires each agency to keep a complete data inventory of all its data assets, in JSON, conforming to the federal metadata schema and hosted at the agency's data.json address, and the US DCAT schema (Project Open Data) defines the record's address fields. The rule for deciding that a given page is a given record — matching its address in the record's address fields — is the project's own.</w:t>
      </w:r>
    </w:p>
    <w:p>
      <w:r>
        <w:rPr>
          <w:rFonts w:ascii="Calibri" w:hAnsi="Calibri"/>
          <w:b/>
          <w:sz w:val="21"/>
        </w:rPr>
        <w:t xml:space="preserve">Who else runs this check. </w:t>
      </w:r>
      <w:r>
        <w:rPr>
          <w:rFonts w:ascii="Calibri" w:hAnsi="Calibri"/>
          <w:sz w:val="21"/>
        </w:rPr>
        <w:t>No public tool runs this exact check.</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Change history served as a structured feed</w:t>
      </w:r>
    </w:p>
    <w:p>
      <w:r>
        <w:rPr>
          <w:rFonts w:ascii="Calibri" w:hAnsi="Calibri"/>
          <w:b/>
          <w:sz w:val="21"/>
        </w:rPr>
        <w:t xml:space="preserve">How this check counts. </w:t>
      </w:r>
      <w:r>
        <w:rPr>
          <w:rFonts w:ascii="Calibri" w:hAnsi="Calibri"/>
          <w:sz w:val="21"/>
        </w:rPr>
        <w:t>Shown for transparency, not scored as a finding about the agency: at least one part of this check rests on a rule this project chose, not a published standard.</w:t>
      </w:r>
    </w:p>
    <w:p>
      <w:r>
        <w:rPr>
          <w:rFonts w:ascii="Calibri" w:hAnsi="Calibri"/>
          <w:b/>
          <w:sz w:val="21"/>
        </w:rPr>
        <w:t xml:space="preserve">The question. </w:t>
      </w:r>
      <w:r>
        <w:rPr>
          <w:rFonts w:ascii="Calibri" w:hAnsi="Calibri"/>
          <w:sz w:val="21"/>
        </w:rPr>
        <w:t>Can a machine learn what changed between releases from a structured change history?</w:t>
      </w:r>
    </w:p>
    <w:p>
      <w:r>
        <w:rPr>
          <w:rFonts w:ascii="Calibri" w:hAnsi="Calibri"/>
          <w:b/>
          <w:sz w:val="21"/>
        </w:rPr>
        <w:t xml:space="preserve">Where we look. </w:t>
      </w:r>
      <w:r>
        <w:rPr>
          <w:rFonts w:ascii="Calibri" w:hAnsi="Calibri"/>
          <w:sz w:val="21"/>
        </w:rPr>
        <w:t>Each change-log or release-notes location on record for the agency.</w:t>
      </w:r>
    </w:p>
    <w:p>
      <w:r>
        <w:rPr>
          <w:rFonts w:ascii="Calibri" w:hAnsi="Calibri"/>
          <w:b/>
          <w:sz w:val="21"/>
        </w:rPr>
        <w:t xml:space="preserve">What the client does. </w:t>
      </w:r>
      <w:r>
        <w:rPr>
          <w:rFonts w:ascii="Calibri" w:hAnsi="Calibri"/>
          <w:sz w:val="21"/>
        </w:rPr>
        <w:t>The public client opens each recorded change-log location and reads what kind of document it sends and, for a feed, how many of its entries say what kind of change they record.</w:t>
      </w:r>
    </w:p>
    <w:p>
      <w:r>
        <w:rPr>
          <w:rFonts w:ascii="Calibri" w:hAnsi="Calibri"/>
          <w:b/>
          <w:sz w:val="21"/>
        </w:rPr>
        <w:t xml:space="preserve">How a result is reported. </w:t>
      </w:r>
      <w:r>
        <w:rPr>
          <w:rFonts w:ascii="Calibri" w:hAnsi="Calibri"/>
          <w:sz w:val="21"/>
        </w:rPr>
        <w:t>This check is not scored as a finding about your agency: it yields no pass, partial or fail about you. What it examines is described under 'The question' and 'Where we look' above.</w:t>
      </w:r>
    </w:p>
    <w:p>
      <w:r>
        <w:rPr>
          <w:rFonts w:ascii="Calibri" w:hAnsi="Calibri"/>
          <w:b/>
          <w:sz w:val="21"/>
        </w:rPr>
        <w:t xml:space="preserve">Why it matters. </w:t>
      </w:r>
      <w:r>
        <w:rPr>
          <w:rFonts w:ascii="Calibri" w:hAnsi="Calibri"/>
          <w:sz w:val="21"/>
        </w:rPr>
        <w:t>A Data on the Web Best Practice asks for a complete version history that explains the changes in each version, and a published guide on data for developers asks for versioning so updates can be tracked over time. The added demands that the history come as a feed and that entries carry a change-type label are the project's own rules; neither source requires them.</w:t>
      </w:r>
    </w:p>
    <w:p>
      <w:r>
        <w:rPr>
          <w:rFonts w:ascii="Calibri" w:hAnsi="Calibri"/>
          <w:b/>
          <w:sz w:val="21"/>
        </w:rPr>
        <w:t xml:space="preserve">Who else runs this check. </w:t>
      </w:r>
      <w:r>
        <w:rPr>
          <w:rFonts w:ascii="Calibri" w:hAnsi="Calibri"/>
          <w:sz w:val="21"/>
        </w:rPr>
        <w:t>No public tool runs this exact check.</w:t>
      </w:r>
    </w:p>
    <w:p>
      <w:r>
        <w:rPr>
          <w:rFonts w:ascii="Calibri" w:hAnsi="Calibri"/>
          <w:b/>
          <w:sz w:val="21"/>
        </w:rPr>
        <w:t xml:space="preserve">What rung two changes. </w:t>
      </w:r>
      <w:r>
        <w:rPr>
          <w:rFonts w:ascii="Calibri" w:hAnsi="Calibri"/>
          <w:sz w:val="21"/>
        </w:rPr>
        <w:t>Nothing: this check needs no key.</w:t>
      </w:r>
    </w:p>
    <w:p>
      <w:r>
        <w:br w:type="page"/>
      </w:r>
    </w:p>
    <w:p>
      <w:r>
        <w:rPr>
          <w:rFonts w:ascii="Calibri" w:hAnsi="Calibri"/>
          <w:b/>
          <w:sz w:val="26"/>
        </w:rPr>
        <w:t>The roster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rPr>
              <w:t>Body</w:t>
            </w:r>
          </w:p>
        </w:tc>
        <w:tc>
          <w:tcPr>
            <w:tcW w:type="dxa" w:w="1728"/>
          </w:tcPr>
          <w:p>
            <w:r>
              <w:rPr>
                <w:rFonts w:ascii="Calibri" w:hAnsi="Calibri"/>
                <w:b/>
              </w:rPr>
              <w:t>Host</w:t>
            </w:r>
          </w:p>
        </w:tc>
        <w:tc>
          <w:tcPr>
            <w:tcW w:type="dxa" w:w="1728"/>
          </w:tcPr>
          <w:p>
            <w:r>
              <w:rPr>
                <w:rFonts w:ascii="Calibri" w:hAnsi="Calibri"/>
                <w:b/>
              </w:rPr>
              <w:t>Role</w:t>
            </w:r>
          </w:p>
        </w:tc>
        <w:tc>
          <w:tcPr>
            <w:tcW w:type="dxa" w:w="1728"/>
          </w:tcPr>
          <w:p>
            <w:r>
              <w:rPr>
                <w:rFonts w:ascii="Calibri" w:hAnsi="Calibri"/>
                <w:b/>
              </w:rPr>
              <w:t>Surfaces</w:t>
            </w:r>
          </w:p>
        </w:tc>
        <w:tc>
          <w:tcPr>
            <w:tcW w:type="dxa" w:w="1728"/>
          </w:tcPr>
          <w:p>
            <w:r>
              <w:rPr>
                <w:rFonts w:ascii="Calibri" w:hAnsi="Calibri"/>
                <w:b/>
              </w:rPr>
              <w:t>Where we look (home)</w:t>
            </w:r>
          </w:p>
        </w:tc>
      </w:tr>
      <w:tr>
        <w:tc>
          <w:tcPr>
            <w:tcW w:type="dxa" w:w="1728"/>
          </w:tcPr>
          <w:p>
            <w:r>
              <w:rPr>
                <w:rFonts w:ascii="Calibri" w:hAnsi="Calibri"/>
                <w:sz w:val="18"/>
              </w:rPr>
              <w:t>BEA</w:t>
            </w:r>
          </w:p>
        </w:tc>
        <w:tc>
          <w:tcPr>
            <w:tcW w:type="dxa" w:w="1728"/>
          </w:tcPr>
          <w:p>
            <w:r>
              <w:rPr>
                <w:rFonts w:ascii="Calibri" w:hAnsi="Calibri"/>
                <w:sz w:val="18"/>
              </w:rPr>
              <w:t>www.bea.gov</w:t>
            </w:r>
          </w:p>
        </w:tc>
        <w:tc>
          <w:tcPr>
            <w:tcW w:type="dxa" w:w="1728"/>
          </w:tcPr>
          <w:p>
            <w:r>
              <w:rPr>
                <w:rFonts w:ascii="Calibri" w:hAnsi="Calibri"/>
                <w:sz w:val="18"/>
              </w:rPr>
              <w:t>statistical body</w:t>
            </w:r>
          </w:p>
        </w:tc>
        <w:tc>
          <w:tcPr>
            <w:tcW w:type="dxa" w:w="1728"/>
          </w:tcPr>
          <w:p>
            <w:r>
              <w:rPr>
                <w:rFonts w:ascii="Calibri" w:hAnsi="Calibri"/>
                <w:sz w:val="18"/>
              </w:rPr>
              <w:t>5</w:t>
            </w:r>
          </w:p>
        </w:tc>
        <w:tc>
          <w:tcPr>
            <w:tcW w:type="dxa" w:w="1728"/>
          </w:tcPr>
          <w:p>
            <w:r>
              <w:rPr>
                <w:rFonts w:ascii="Calibri" w:hAnsi="Calibri"/>
                <w:sz w:val="18"/>
              </w:rPr>
              <w:t>https://www.bea.gov/</w:t>
            </w:r>
          </w:p>
        </w:tc>
      </w:tr>
      <w:tr>
        <w:tc>
          <w:tcPr>
            <w:tcW w:type="dxa" w:w="1728"/>
          </w:tcPr>
          <w:p>
            <w:r>
              <w:rPr>
                <w:rFonts w:ascii="Calibri" w:hAnsi="Calibri"/>
                <w:sz w:val="18"/>
              </w:rPr>
              <w:t>BJS</w:t>
            </w:r>
          </w:p>
        </w:tc>
        <w:tc>
          <w:tcPr>
            <w:tcW w:type="dxa" w:w="1728"/>
          </w:tcPr>
          <w:p>
            <w:r>
              <w:rPr>
                <w:rFonts w:ascii="Calibri" w:hAnsi="Calibri"/>
                <w:sz w:val="18"/>
              </w:rPr>
              <w:t>bjs.ojp.gov</w:t>
            </w:r>
          </w:p>
        </w:tc>
        <w:tc>
          <w:tcPr>
            <w:tcW w:type="dxa" w:w="1728"/>
          </w:tcPr>
          <w:p>
            <w:r>
              <w:rPr>
                <w:rFonts w:ascii="Calibri" w:hAnsi="Calibri"/>
                <w:sz w:val="18"/>
              </w:rPr>
              <w:t>statistical body</w:t>
            </w:r>
          </w:p>
        </w:tc>
        <w:tc>
          <w:tcPr>
            <w:tcW w:type="dxa" w:w="1728"/>
          </w:tcPr>
          <w:p>
            <w:r>
              <w:rPr>
                <w:rFonts w:ascii="Calibri" w:hAnsi="Calibri"/>
                <w:sz w:val="18"/>
              </w:rPr>
              <w:t>4</w:t>
            </w:r>
          </w:p>
        </w:tc>
        <w:tc>
          <w:tcPr>
            <w:tcW w:type="dxa" w:w="1728"/>
          </w:tcPr>
          <w:p>
            <w:r>
              <w:rPr>
                <w:rFonts w:ascii="Calibri" w:hAnsi="Calibri"/>
                <w:sz w:val="18"/>
              </w:rPr>
              <w:t>https://bjs.ojp.gov/</w:t>
            </w:r>
          </w:p>
        </w:tc>
      </w:tr>
      <w:tr>
        <w:tc>
          <w:tcPr>
            <w:tcW w:type="dxa" w:w="1728"/>
          </w:tcPr>
          <w:p>
            <w:r>
              <w:rPr>
                <w:rFonts w:ascii="Calibri" w:hAnsi="Calibri"/>
                <w:sz w:val="18"/>
              </w:rPr>
              <w:t>BLS</w:t>
            </w:r>
          </w:p>
        </w:tc>
        <w:tc>
          <w:tcPr>
            <w:tcW w:type="dxa" w:w="1728"/>
          </w:tcPr>
          <w:p>
            <w:r>
              <w:rPr>
                <w:rFonts w:ascii="Calibri" w:hAnsi="Calibri"/>
                <w:sz w:val="18"/>
              </w:rPr>
              <w:t>www.bls.gov</w:t>
            </w:r>
          </w:p>
        </w:tc>
        <w:tc>
          <w:tcPr>
            <w:tcW w:type="dxa" w:w="1728"/>
          </w:tcPr>
          <w:p>
            <w:r>
              <w:rPr>
                <w:rFonts w:ascii="Calibri" w:hAnsi="Calibri"/>
                <w:sz w:val="18"/>
              </w:rPr>
              <w:t>statistical body</w:t>
            </w:r>
          </w:p>
        </w:tc>
        <w:tc>
          <w:tcPr>
            <w:tcW w:type="dxa" w:w="1728"/>
          </w:tcPr>
          <w:p>
            <w:r>
              <w:rPr>
                <w:rFonts w:ascii="Calibri" w:hAnsi="Calibri"/>
                <w:sz w:val="18"/>
              </w:rPr>
              <w:t>3</w:t>
            </w:r>
          </w:p>
        </w:tc>
        <w:tc>
          <w:tcPr>
            <w:tcW w:type="dxa" w:w="1728"/>
          </w:tcPr>
          <w:p>
            <w:r>
              <w:rPr>
                <w:rFonts w:ascii="Calibri" w:hAnsi="Calibri"/>
                <w:sz w:val="18"/>
              </w:rPr>
              <w:t>https://www.bls.gov/</w:t>
            </w:r>
          </w:p>
        </w:tc>
      </w:tr>
      <w:tr>
        <w:tc>
          <w:tcPr>
            <w:tcW w:type="dxa" w:w="1728"/>
          </w:tcPr>
          <w:p>
            <w:r>
              <w:rPr>
                <w:rFonts w:ascii="Calibri" w:hAnsi="Calibri"/>
                <w:sz w:val="18"/>
              </w:rPr>
              <w:t>BTS</w:t>
            </w:r>
          </w:p>
        </w:tc>
        <w:tc>
          <w:tcPr>
            <w:tcW w:type="dxa" w:w="1728"/>
          </w:tcPr>
          <w:p>
            <w:r>
              <w:rPr>
                <w:rFonts w:ascii="Calibri" w:hAnsi="Calibri"/>
                <w:sz w:val="18"/>
              </w:rPr>
              <w:t>www.bts.gov</w:t>
            </w:r>
          </w:p>
        </w:tc>
        <w:tc>
          <w:tcPr>
            <w:tcW w:type="dxa" w:w="1728"/>
          </w:tcPr>
          <w:p>
            <w:r>
              <w:rPr>
                <w:rFonts w:ascii="Calibri" w:hAnsi="Calibri"/>
                <w:sz w:val="18"/>
              </w:rPr>
              <w:t>statistical body</w:t>
            </w:r>
          </w:p>
        </w:tc>
        <w:tc>
          <w:tcPr>
            <w:tcW w:type="dxa" w:w="1728"/>
          </w:tcPr>
          <w:p>
            <w:r>
              <w:rPr>
                <w:rFonts w:ascii="Calibri" w:hAnsi="Calibri"/>
                <w:sz w:val="18"/>
              </w:rPr>
              <w:t>3</w:t>
            </w:r>
          </w:p>
        </w:tc>
        <w:tc>
          <w:tcPr>
            <w:tcW w:type="dxa" w:w="1728"/>
          </w:tcPr>
          <w:p>
            <w:r>
              <w:rPr>
                <w:rFonts w:ascii="Calibri" w:hAnsi="Calibri"/>
                <w:sz w:val="18"/>
              </w:rPr>
              <w:t>https://www.bts.gov/</w:t>
            </w:r>
          </w:p>
        </w:tc>
      </w:tr>
      <w:tr>
        <w:tc>
          <w:tcPr>
            <w:tcW w:type="dxa" w:w="1728"/>
          </w:tcPr>
          <w:p>
            <w:r>
              <w:rPr>
                <w:rFonts w:ascii="Calibri" w:hAnsi="Calibri"/>
                <w:sz w:val="18"/>
              </w:rPr>
              <w:t>CENSUS</w:t>
            </w:r>
          </w:p>
        </w:tc>
        <w:tc>
          <w:tcPr>
            <w:tcW w:type="dxa" w:w="1728"/>
          </w:tcPr>
          <w:p>
            <w:r>
              <w:rPr>
                <w:rFonts w:ascii="Calibri" w:hAnsi="Calibri"/>
                <w:sz w:val="18"/>
              </w:rPr>
              <w:t>www.census.gov</w:t>
            </w:r>
          </w:p>
        </w:tc>
        <w:tc>
          <w:tcPr>
            <w:tcW w:type="dxa" w:w="1728"/>
          </w:tcPr>
          <w:p>
            <w:r>
              <w:rPr>
                <w:rFonts w:ascii="Calibri" w:hAnsi="Calibri"/>
                <w:sz w:val="18"/>
              </w:rPr>
              <w:t>statistical body</w:t>
            </w:r>
          </w:p>
        </w:tc>
        <w:tc>
          <w:tcPr>
            <w:tcW w:type="dxa" w:w="1728"/>
          </w:tcPr>
          <w:p>
            <w:r>
              <w:rPr>
                <w:rFonts w:ascii="Calibri" w:hAnsi="Calibri"/>
                <w:sz w:val="18"/>
              </w:rPr>
              <w:t>5</w:t>
            </w:r>
          </w:p>
        </w:tc>
        <w:tc>
          <w:tcPr>
            <w:tcW w:type="dxa" w:w="1728"/>
          </w:tcPr>
          <w:p>
            <w:r>
              <w:rPr>
                <w:rFonts w:ascii="Calibri" w:hAnsi="Calibri"/>
                <w:sz w:val="18"/>
              </w:rPr>
              <w:t>https://www.census.gov/</w:t>
            </w:r>
          </w:p>
        </w:tc>
      </w:tr>
      <w:tr>
        <w:tc>
          <w:tcPr>
            <w:tcW w:type="dxa" w:w="1728"/>
          </w:tcPr>
          <w:p>
            <w:r>
              <w:rPr>
                <w:rFonts w:ascii="Calibri" w:hAnsi="Calibri"/>
                <w:sz w:val="18"/>
              </w:rPr>
              <w:t>DRSMSU</w:t>
            </w:r>
          </w:p>
        </w:tc>
        <w:tc>
          <w:tcPr>
            <w:tcW w:type="dxa" w:w="1728"/>
          </w:tcPr>
          <w:p>
            <w:r>
              <w:rPr>
                <w:rFonts w:ascii="Calibri" w:hAnsi="Calibri"/>
                <w:sz w:val="18"/>
              </w:rPr>
              <w:t>www.federalreserve.gov</w:t>
            </w:r>
          </w:p>
        </w:tc>
        <w:tc>
          <w:tcPr>
            <w:tcW w:type="dxa" w:w="1728"/>
          </w:tcPr>
          <w:p>
            <w:r>
              <w:rPr>
                <w:rFonts w:ascii="Calibri" w:hAnsi="Calibri"/>
                <w:sz w:val="18"/>
              </w:rPr>
              <w:t>statistical body</w:t>
            </w:r>
          </w:p>
        </w:tc>
        <w:tc>
          <w:tcPr>
            <w:tcW w:type="dxa" w:w="1728"/>
          </w:tcPr>
          <w:p>
            <w:r>
              <w:rPr>
                <w:rFonts w:ascii="Calibri" w:hAnsi="Calibri"/>
                <w:sz w:val="18"/>
              </w:rPr>
              <w:t>3</w:t>
            </w:r>
          </w:p>
        </w:tc>
        <w:tc>
          <w:tcPr>
            <w:tcW w:type="dxa" w:w="1728"/>
          </w:tcPr>
          <w:p>
            <w:r>
              <w:rPr>
                <w:rFonts w:ascii="Calibri" w:hAnsi="Calibri"/>
                <w:sz w:val="18"/>
              </w:rPr>
              <w:t>https://www.federalreserve.gov/econres/rsmecs-staff.htm</w:t>
            </w:r>
          </w:p>
        </w:tc>
      </w:tr>
      <w:tr>
        <w:tc>
          <w:tcPr>
            <w:tcW w:type="dxa" w:w="1728"/>
          </w:tcPr>
          <w:p>
            <w:r>
              <w:rPr>
                <w:rFonts w:ascii="Calibri" w:hAnsi="Calibri"/>
                <w:sz w:val="18"/>
              </w:rPr>
              <w:t>EIA</w:t>
            </w:r>
          </w:p>
        </w:tc>
        <w:tc>
          <w:tcPr>
            <w:tcW w:type="dxa" w:w="1728"/>
          </w:tcPr>
          <w:p>
            <w:r>
              <w:rPr>
                <w:rFonts w:ascii="Calibri" w:hAnsi="Calibri"/>
                <w:sz w:val="18"/>
              </w:rPr>
              <w:t>www.eia.gov</w:t>
            </w:r>
          </w:p>
        </w:tc>
        <w:tc>
          <w:tcPr>
            <w:tcW w:type="dxa" w:w="1728"/>
          </w:tcPr>
          <w:p>
            <w:r>
              <w:rPr>
                <w:rFonts w:ascii="Calibri" w:hAnsi="Calibri"/>
                <w:sz w:val="18"/>
              </w:rPr>
              <w:t>statistical body</w:t>
            </w:r>
          </w:p>
        </w:tc>
        <w:tc>
          <w:tcPr>
            <w:tcW w:type="dxa" w:w="1728"/>
          </w:tcPr>
          <w:p>
            <w:r>
              <w:rPr>
                <w:rFonts w:ascii="Calibri" w:hAnsi="Calibri"/>
                <w:sz w:val="18"/>
              </w:rPr>
              <w:t>5</w:t>
            </w:r>
          </w:p>
        </w:tc>
        <w:tc>
          <w:tcPr>
            <w:tcW w:type="dxa" w:w="1728"/>
          </w:tcPr>
          <w:p>
            <w:r>
              <w:rPr>
                <w:rFonts w:ascii="Calibri" w:hAnsi="Calibri"/>
                <w:sz w:val="18"/>
              </w:rPr>
              <w:t>https://www.eia.gov/</w:t>
            </w:r>
          </w:p>
        </w:tc>
      </w:tr>
      <w:tr>
        <w:tc>
          <w:tcPr>
            <w:tcW w:type="dxa" w:w="1728"/>
          </w:tcPr>
          <w:p>
            <w:r>
              <w:rPr>
                <w:rFonts w:ascii="Calibri" w:hAnsi="Calibri"/>
                <w:sz w:val="18"/>
              </w:rPr>
              <w:t>ERS</w:t>
            </w:r>
          </w:p>
        </w:tc>
        <w:tc>
          <w:tcPr>
            <w:tcW w:type="dxa" w:w="1728"/>
          </w:tcPr>
          <w:p>
            <w:r>
              <w:rPr>
                <w:rFonts w:ascii="Calibri" w:hAnsi="Calibri"/>
                <w:sz w:val="18"/>
              </w:rPr>
              <w:t>www.ers.usda.gov</w:t>
            </w:r>
          </w:p>
        </w:tc>
        <w:tc>
          <w:tcPr>
            <w:tcW w:type="dxa" w:w="1728"/>
          </w:tcPr>
          <w:p>
            <w:r>
              <w:rPr>
                <w:rFonts w:ascii="Calibri" w:hAnsi="Calibri"/>
                <w:sz w:val="18"/>
              </w:rPr>
              <w:t>statistical body</w:t>
            </w:r>
          </w:p>
        </w:tc>
        <w:tc>
          <w:tcPr>
            <w:tcW w:type="dxa" w:w="1728"/>
          </w:tcPr>
          <w:p>
            <w:r>
              <w:rPr>
                <w:rFonts w:ascii="Calibri" w:hAnsi="Calibri"/>
                <w:sz w:val="18"/>
              </w:rPr>
              <w:t>5</w:t>
            </w:r>
          </w:p>
        </w:tc>
        <w:tc>
          <w:tcPr>
            <w:tcW w:type="dxa" w:w="1728"/>
          </w:tcPr>
          <w:p>
            <w:r>
              <w:rPr>
                <w:rFonts w:ascii="Calibri" w:hAnsi="Calibri"/>
                <w:sz w:val="18"/>
              </w:rPr>
              <w:t>https://www.ers.usda.gov/</w:t>
            </w:r>
          </w:p>
        </w:tc>
      </w:tr>
      <w:tr>
        <w:tc>
          <w:tcPr>
            <w:tcW w:type="dxa" w:w="1728"/>
          </w:tcPr>
          <w:p>
            <w:r>
              <w:rPr>
                <w:rFonts w:ascii="Calibri" w:hAnsi="Calibri"/>
                <w:sz w:val="18"/>
              </w:rPr>
              <w:t>NAHMSAPHIS</w:t>
            </w:r>
          </w:p>
        </w:tc>
        <w:tc>
          <w:tcPr>
            <w:tcW w:type="dxa" w:w="1728"/>
          </w:tcPr>
          <w:p>
            <w:r>
              <w:rPr>
                <w:rFonts w:ascii="Calibri" w:hAnsi="Calibri"/>
                <w:sz w:val="18"/>
              </w:rPr>
              <w:t>www.aphis.usda.gov</w:t>
            </w:r>
          </w:p>
        </w:tc>
        <w:tc>
          <w:tcPr>
            <w:tcW w:type="dxa" w:w="1728"/>
          </w:tcPr>
          <w:p>
            <w:r>
              <w:rPr>
                <w:rFonts w:ascii="Calibri" w:hAnsi="Calibri"/>
                <w:sz w:val="18"/>
              </w:rPr>
              <w:t>statistical body</w:t>
            </w:r>
          </w:p>
        </w:tc>
        <w:tc>
          <w:tcPr>
            <w:tcW w:type="dxa" w:w="1728"/>
          </w:tcPr>
          <w:p>
            <w:r>
              <w:rPr>
                <w:rFonts w:ascii="Calibri" w:hAnsi="Calibri"/>
                <w:sz w:val="18"/>
              </w:rPr>
              <w:t>3</w:t>
            </w:r>
          </w:p>
        </w:tc>
        <w:tc>
          <w:tcPr>
            <w:tcW w:type="dxa" w:w="1728"/>
          </w:tcPr>
          <w:p>
            <w:r>
              <w:rPr>
                <w:rFonts w:ascii="Calibri" w:hAnsi="Calibri"/>
                <w:sz w:val="18"/>
              </w:rPr>
              <w:t>https://www.aphis.usda.gov/aphis/ourfocus/animalhealth/monitoring-and-surveillance/nahms</w:t>
            </w:r>
          </w:p>
        </w:tc>
      </w:tr>
      <w:tr>
        <w:tc>
          <w:tcPr>
            <w:tcW w:type="dxa" w:w="1728"/>
          </w:tcPr>
          <w:p>
            <w:r>
              <w:rPr>
                <w:rFonts w:ascii="Calibri" w:hAnsi="Calibri"/>
                <w:sz w:val="18"/>
              </w:rPr>
              <w:t>NASS</w:t>
            </w:r>
          </w:p>
        </w:tc>
        <w:tc>
          <w:tcPr>
            <w:tcW w:type="dxa" w:w="1728"/>
          </w:tcPr>
          <w:p>
            <w:r>
              <w:rPr>
                <w:rFonts w:ascii="Calibri" w:hAnsi="Calibri"/>
                <w:sz w:val="18"/>
              </w:rPr>
              <w:t>www.nass.usda.gov</w:t>
            </w:r>
          </w:p>
        </w:tc>
        <w:tc>
          <w:tcPr>
            <w:tcW w:type="dxa" w:w="1728"/>
          </w:tcPr>
          <w:p>
            <w:r>
              <w:rPr>
                <w:rFonts w:ascii="Calibri" w:hAnsi="Calibri"/>
                <w:sz w:val="18"/>
              </w:rPr>
              <w:t>statistical body</w:t>
            </w:r>
          </w:p>
        </w:tc>
        <w:tc>
          <w:tcPr>
            <w:tcW w:type="dxa" w:w="1728"/>
          </w:tcPr>
          <w:p>
            <w:r>
              <w:rPr>
                <w:rFonts w:ascii="Calibri" w:hAnsi="Calibri"/>
                <w:sz w:val="18"/>
              </w:rPr>
              <w:t>5</w:t>
            </w:r>
          </w:p>
        </w:tc>
        <w:tc>
          <w:tcPr>
            <w:tcW w:type="dxa" w:w="1728"/>
          </w:tcPr>
          <w:p>
            <w:r>
              <w:rPr>
                <w:rFonts w:ascii="Calibri" w:hAnsi="Calibri"/>
                <w:sz w:val="18"/>
              </w:rPr>
              <w:t>https://www.nass.usda.gov/</w:t>
            </w:r>
          </w:p>
        </w:tc>
      </w:tr>
      <w:tr>
        <w:tc>
          <w:tcPr>
            <w:tcW w:type="dxa" w:w="1728"/>
          </w:tcPr>
          <w:p>
            <w:r>
              <w:rPr>
                <w:rFonts w:ascii="Calibri" w:hAnsi="Calibri"/>
                <w:sz w:val="18"/>
              </w:rPr>
              <w:t>NCES</w:t>
            </w:r>
          </w:p>
        </w:tc>
        <w:tc>
          <w:tcPr>
            <w:tcW w:type="dxa" w:w="1728"/>
          </w:tcPr>
          <w:p>
            <w:r>
              <w:rPr>
                <w:rFonts w:ascii="Calibri" w:hAnsi="Calibri"/>
                <w:sz w:val="18"/>
              </w:rPr>
              <w:t>nces.ed.gov</w:t>
            </w:r>
          </w:p>
        </w:tc>
        <w:tc>
          <w:tcPr>
            <w:tcW w:type="dxa" w:w="1728"/>
          </w:tcPr>
          <w:p>
            <w:r>
              <w:rPr>
                <w:rFonts w:ascii="Calibri" w:hAnsi="Calibri"/>
                <w:sz w:val="18"/>
              </w:rPr>
              <w:t>statistical body</w:t>
            </w:r>
          </w:p>
        </w:tc>
        <w:tc>
          <w:tcPr>
            <w:tcW w:type="dxa" w:w="1728"/>
          </w:tcPr>
          <w:p>
            <w:r>
              <w:rPr>
                <w:rFonts w:ascii="Calibri" w:hAnsi="Calibri"/>
                <w:sz w:val="18"/>
              </w:rPr>
              <w:t>3</w:t>
            </w:r>
          </w:p>
        </w:tc>
        <w:tc>
          <w:tcPr>
            <w:tcW w:type="dxa" w:w="1728"/>
          </w:tcPr>
          <w:p>
            <w:r>
              <w:rPr>
                <w:rFonts w:ascii="Calibri" w:hAnsi="Calibri"/>
                <w:sz w:val="18"/>
              </w:rPr>
              <w:t>https://nces.ed.gov/</w:t>
            </w:r>
          </w:p>
        </w:tc>
      </w:tr>
      <w:tr>
        <w:tc>
          <w:tcPr>
            <w:tcW w:type="dxa" w:w="1728"/>
          </w:tcPr>
          <w:p>
            <w:r>
              <w:rPr>
                <w:rFonts w:ascii="Calibri" w:hAnsi="Calibri"/>
                <w:sz w:val="18"/>
              </w:rPr>
              <w:t>NCHS</w:t>
            </w:r>
          </w:p>
        </w:tc>
        <w:tc>
          <w:tcPr>
            <w:tcW w:type="dxa" w:w="1728"/>
          </w:tcPr>
          <w:p>
            <w:r>
              <w:rPr>
                <w:rFonts w:ascii="Calibri" w:hAnsi="Calibri"/>
                <w:sz w:val="18"/>
              </w:rPr>
              <w:t>www.cdc.gov</w:t>
            </w:r>
          </w:p>
        </w:tc>
        <w:tc>
          <w:tcPr>
            <w:tcW w:type="dxa" w:w="1728"/>
          </w:tcPr>
          <w:p>
            <w:r>
              <w:rPr>
                <w:rFonts w:ascii="Calibri" w:hAnsi="Calibri"/>
                <w:sz w:val="18"/>
              </w:rPr>
              <w:t>statistical body</w:t>
            </w:r>
          </w:p>
        </w:tc>
        <w:tc>
          <w:tcPr>
            <w:tcW w:type="dxa" w:w="1728"/>
          </w:tcPr>
          <w:p>
            <w:r>
              <w:rPr>
                <w:rFonts w:ascii="Calibri" w:hAnsi="Calibri"/>
                <w:sz w:val="18"/>
              </w:rPr>
              <w:t>5</w:t>
            </w:r>
          </w:p>
        </w:tc>
        <w:tc>
          <w:tcPr>
            <w:tcW w:type="dxa" w:w="1728"/>
          </w:tcPr>
          <w:p>
            <w:r>
              <w:rPr>
                <w:rFonts w:ascii="Calibri" w:hAnsi="Calibri"/>
                <w:sz w:val="18"/>
              </w:rPr>
              <w:t>https://www.cdc.gov/nchs/index.htm</w:t>
            </w:r>
          </w:p>
        </w:tc>
      </w:tr>
      <w:tr>
        <w:tc>
          <w:tcPr>
            <w:tcW w:type="dxa" w:w="1728"/>
          </w:tcPr>
          <w:p>
            <w:r>
              <w:rPr>
                <w:rFonts w:ascii="Calibri" w:hAnsi="Calibri"/>
                <w:sz w:val="18"/>
              </w:rPr>
              <w:t>NCSES</w:t>
            </w:r>
          </w:p>
        </w:tc>
        <w:tc>
          <w:tcPr>
            <w:tcW w:type="dxa" w:w="1728"/>
          </w:tcPr>
          <w:p>
            <w:r>
              <w:rPr>
                <w:rFonts w:ascii="Calibri" w:hAnsi="Calibri"/>
                <w:sz w:val="18"/>
              </w:rPr>
              <w:t>ncses.nsf.gov</w:t>
            </w:r>
          </w:p>
        </w:tc>
        <w:tc>
          <w:tcPr>
            <w:tcW w:type="dxa" w:w="1728"/>
          </w:tcPr>
          <w:p>
            <w:r>
              <w:rPr>
                <w:rFonts w:ascii="Calibri" w:hAnsi="Calibri"/>
                <w:sz w:val="18"/>
              </w:rPr>
              <w:t>statistical body</w:t>
            </w:r>
          </w:p>
        </w:tc>
        <w:tc>
          <w:tcPr>
            <w:tcW w:type="dxa" w:w="1728"/>
          </w:tcPr>
          <w:p>
            <w:r>
              <w:rPr>
                <w:rFonts w:ascii="Calibri" w:hAnsi="Calibri"/>
                <w:sz w:val="18"/>
              </w:rPr>
              <w:t>4</w:t>
            </w:r>
          </w:p>
        </w:tc>
        <w:tc>
          <w:tcPr>
            <w:tcW w:type="dxa" w:w="1728"/>
          </w:tcPr>
          <w:p>
            <w:r>
              <w:rPr>
                <w:rFonts w:ascii="Calibri" w:hAnsi="Calibri"/>
                <w:sz w:val="18"/>
              </w:rPr>
              <w:t>https://ncses.nsf.gov/</w:t>
            </w:r>
          </w:p>
        </w:tc>
      </w:tr>
      <w:tr>
        <w:tc>
          <w:tcPr>
            <w:tcW w:type="dxa" w:w="1728"/>
          </w:tcPr>
          <w:p>
            <w:r>
              <w:rPr>
                <w:rFonts w:ascii="Calibri" w:hAnsi="Calibri"/>
                <w:sz w:val="18"/>
              </w:rPr>
              <w:t>ORES</w:t>
            </w:r>
          </w:p>
        </w:tc>
        <w:tc>
          <w:tcPr>
            <w:tcW w:type="dxa" w:w="1728"/>
          </w:tcPr>
          <w:p>
            <w:r>
              <w:rPr>
                <w:rFonts w:ascii="Calibri" w:hAnsi="Calibri"/>
                <w:sz w:val="18"/>
              </w:rPr>
              <w:t>www.ssa.gov</w:t>
            </w:r>
          </w:p>
        </w:tc>
        <w:tc>
          <w:tcPr>
            <w:tcW w:type="dxa" w:w="1728"/>
          </w:tcPr>
          <w:p>
            <w:r>
              <w:rPr>
                <w:rFonts w:ascii="Calibri" w:hAnsi="Calibri"/>
                <w:sz w:val="18"/>
              </w:rPr>
              <w:t>statistical body</w:t>
            </w:r>
          </w:p>
        </w:tc>
        <w:tc>
          <w:tcPr>
            <w:tcW w:type="dxa" w:w="1728"/>
          </w:tcPr>
          <w:p>
            <w:r>
              <w:rPr>
                <w:rFonts w:ascii="Calibri" w:hAnsi="Calibri"/>
                <w:sz w:val="18"/>
              </w:rPr>
              <w:t>3</w:t>
            </w:r>
          </w:p>
        </w:tc>
        <w:tc>
          <w:tcPr>
            <w:tcW w:type="dxa" w:w="1728"/>
          </w:tcPr>
          <w:p>
            <w:r>
              <w:rPr>
                <w:rFonts w:ascii="Calibri" w:hAnsi="Calibri"/>
                <w:sz w:val="18"/>
              </w:rPr>
              <w:t>https://www.ssa.gov</w:t>
            </w:r>
          </w:p>
        </w:tc>
      </w:tr>
      <w:tr>
        <w:tc>
          <w:tcPr>
            <w:tcW w:type="dxa" w:w="1728"/>
          </w:tcPr>
          <w:p>
            <w:r>
              <w:rPr>
                <w:rFonts w:ascii="Calibri" w:hAnsi="Calibri"/>
                <w:sz w:val="18"/>
              </w:rPr>
              <w:t>SAMHSACBHS</w:t>
            </w:r>
          </w:p>
        </w:tc>
        <w:tc>
          <w:tcPr>
            <w:tcW w:type="dxa" w:w="1728"/>
          </w:tcPr>
          <w:p>
            <w:r>
              <w:rPr>
                <w:rFonts w:ascii="Calibri" w:hAnsi="Calibri"/>
                <w:sz w:val="18"/>
              </w:rPr>
              <w:t>www.samhsa.gov</w:t>
            </w:r>
          </w:p>
        </w:tc>
        <w:tc>
          <w:tcPr>
            <w:tcW w:type="dxa" w:w="1728"/>
          </w:tcPr>
          <w:p>
            <w:r>
              <w:rPr>
                <w:rFonts w:ascii="Calibri" w:hAnsi="Calibri"/>
                <w:sz w:val="18"/>
              </w:rPr>
              <w:t>statistical body</w:t>
            </w:r>
          </w:p>
        </w:tc>
        <w:tc>
          <w:tcPr>
            <w:tcW w:type="dxa" w:w="1728"/>
          </w:tcPr>
          <w:p>
            <w:r>
              <w:rPr>
                <w:rFonts w:ascii="Calibri" w:hAnsi="Calibri"/>
                <w:sz w:val="18"/>
              </w:rPr>
              <w:t>3</w:t>
            </w:r>
          </w:p>
        </w:tc>
        <w:tc>
          <w:tcPr>
            <w:tcW w:type="dxa" w:w="1728"/>
          </w:tcPr>
          <w:p>
            <w:r>
              <w:rPr>
                <w:rFonts w:ascii="Calibri" w:hAnsi="Calibri"/>
                <w:sz w:val="18"/>
              </w:rPr>
              <w:t>https://www.samhsa.gov/about-us/who-we-are/offices-centers/cbhsq</w:t>
            </w:r>
          </w:p>
        </w:tc>
      </w:tr>
      <w:tr>
        <w:tc>
          <w:tcPr>
            <w:tcW w:type="dxa" w:w="1728"/>
          </w:tcPr>
          <w:p>
            <w:r>
              <w:rPr>
                <w:rFonts w:ascii="Calibri" w:hAnsi="Calibri"/>
                <w:sz w:val="18"/>
              </w:rPr>
              <w:t>SOI</w:t>
            </w:r>
          </w:p>
        </w:tc>
        <w:tc>
          <w:tcPr>
            <w:tcW w:type="dxa" w:w="1728"/>
          </w:tcPr>
          <w:p>
            <w:r>
              <w:rPr>
                <w:rFonts w:ascii="Calibri" w:hAnsi="Calibri"/>
                <w:sz w:val="18"/>
              </w:rPr>
              <w:t>www.irs.gov</w:t>
            </w:r>
          </w:p>
        </w:tc>
        <w:tc>
          <w:tcPr>
            <w:tcW w:type="dxa" w:w="1728"/>
          </w:tcPr>
          <w:p>
            <w:r>
              <w:rPr>
                <w:rFonts w:ascii="Calibri" w:hAnsi="Calibri"/>
                <w:sz w:val="18"/>
              </w:rPr>
              <w:t>statistical body</w:t>
            </w:r>
          </w:p>
        </w:tc>
        <w:tc>
          <w:tcPr>
            <w:tcW w:type="dxa" w:w="1728"/>
          </w:tcPr>
          <w:p>
            <w:r>
              <w:rPr>
                <w:rFonts w:ascii="Calibri" w:hAnsi="Calibri"/>
                <w:sz w:val="18"/>
              </w:rPr>
              <w:t>4</w:t>
            </w:r>
          </w:p>
        </w:tc>
        <w:tc>
          <w:tcPr>
            <w:tcW w:type="dxa" w:w="1728"/>
          </w:tcPr>
          <w:p>
            <w:r>
              <w:rPr>
                <w:rFonts w:ascii="Calibri" w:hAnsi="Calibri"/>
                <w:sz w:val="18"/>
              </w:rPr>
              <w:t>https://www.irs.gov/statistics/soi-tax-stats-statistics-of-income</w:t>
            </w:r>
          </w:p>
        </w:tc>
      </w:tr>
      <w:tr>
        <w:tc>
          <w:tcPr>
            <w:tcW w:type="dxa" w:w="1728"/>
          </w:tcPr>
          <w:p>
            <w:r>
              <w:rPr>
                <w:rFonts w:ascii="Calibri" w:hAnsi="Calibri"/>
                <w:sz w:val="18"/>
              </w:rPr>
              <w:t>GSA</w:t>
            </w:r>
          </w:p>
        </w:tc>
        <w:tc>
          <w:tcPr>
            <w:tcW w:type="dxa" w:w="1728"/>
          </w:tcPr>
          <w:p>
            <w:r>
              <w:rPr>
                <w:rFonts w:ascii="Calibri" w:hAnsi="Calibri"/>
                <w:sz w:val="18"/>
              </w:rPr>
              <w:t>www.gsa.gov</w:t>
            </w:r>
          </w:p>
        </w:tc>
        <w:tc>
          <w:tcPr>
            <w:tcW w:type="dxa" w:w="1728"/>
          </w:tcPr>
          <w:p>
            <w:r>
              <w:rPr>
                <w:rFonts w:ascii="Calibri" w:hAnsi="Calibri"/>
                <w:sz w:val="18"/>
              </w:rPr>
              <w:t>reference host (flagship)</w:t>
            </w:r>
          </w:p>
        </w:tc>
        <w:tc>
          <w:tcPr>
            <w:tcW w:type="dxa" w:w="1728"/>
          </w:tcPr>
          <w:p>
            <w:r>
              <w:rPr>
                <w:rFonts w:ascii="Calibri" w:hAnsi="Calibri"/>
                <w:sz w:val="18"/>
              </w:rPr>
              <w:t>3</w:t>
            </w:r>
          </w:p>
        </w:tc>
        <w:tc>
          <w:tcPr>
            <w:tcW w:type="dxa" w:w="1728"/>
          </w:tcPr>
          <w:p>
            <w:r>
              <w:rPr>
                <w:rFonts w:ascii="Calibri" w:hAnsi="Calibri"/>
                <w:sz w:val="18"/>
              </w:rPr>
              <w:t>https://www.gsa.gov</w:t>
            </w:r>
          </w:p>
        </w:tc>
      </w:tr>
      <w:tr>
        <w:tc>
          <w:tcPr>
            <w:tcW w:type="dxa" w:w="1728"/>
          </w:tcPr>
          <w:p>
            <w:r>
              <w:rPr>
                <w:rFonts w:ascii="Calibri" w:hAnsi="Calibri"/>
                <w:sz w:val="18"/>
              </w:rPr>
              <w:t>NIST</w:t>
            </w:r>
          </w:p>
        </w:tc>
        <w:tc>
          <w:tcPr>
            <w:tcW w:type="dxa" w:w="1728"/>
          </w:tcPr>
          <w:p>
            <w:r>
              <w:rPr>
                <w:rFonts w:ascii="Calibri" w:hAnsi="Calibri"/>
                <w:sz w:val="18"/>
              </w:rPr>
              <w:t>www.nist.gov</w:t>
            </w:r>
          </w:p>
        </w:tc>
        <w:tc>
          <w:tcPr>
            <w:tcW w:type="dxa" w:w="1728"/>
          </w:tcPr>
          <w:p>
            <w:r>
              <w:rPr>
                <w:rFonts w:ascii="Calibri" w:hAnsi="Calibri"/>
                <w:sz w:val="18"/>
              </w:rPr>
              <w:t>reference host (flagship)</w:t>
            </w:r>
          </w:p>
        </w:tc>
        <w:tc>
          <w:tcPr>
            <w:tcW w:type="dxa" w:w="1728"/>
          </w:tcPr>
          <w:p>
            <w:r>
              <w:rPr>
                <w:rFonts w:ascii="Calibri" w:hAnsi="Calibri"/>
                <w:sz w:val="18"/>
              </w:rPr>
              <w:t>3</w:t>
            </w:r>
          </w:p>
        </w:tc>
        <w:tc>
          <w:tcPr>
            <w:tcW w:type="dxa" w:w="1728"/>
          </w:tcPr>
          <w:p>
            <w:r>
              <w:rPr>
                <w:rFonts w:ascii="Calibri" w:hAnsi="Calibri"/>
                <w:sz w:val="18"/>
              </w:rPr>
              <w:t>https://www.nist.gov</w:t>
            </w:r>
          </w:p>
        </w:tc>
      </w:tr>
      <w:tr>
        <w:tc>
          <w:tcPr>
            <w:tcW w:type="dxa" w:w="1728"/>
          </w:tcPr>
          <w:p>
            <w:r>
              <w:rPr>
                <w:rFonts w:ascii="Calibri" w:hAnsi="Calibri"/>
                <w:sz w:val="18"/>
              </w:rPr>
              <w:t>data.gov</w:t>
            </w:r>
          </w:p>
        </w:tc>
        <w:tc>
          <w:tcPr>
            <w:tcW w:type="dxa" w:w="1728"/>
          </w:tcPr>
          <w:p>
            <w:r>
              <w:rPr>
                <w:rFonts w:ascii="Calibri" w:hAnsi="Calibri"/>
                <w:sz w:val="18"/>
              </w:rPr>
              <w:t>www.data.gov</w:t>
            </w:r>
          </w:p>
        </w:tc>
        <w:tc>
          <w:tcPr>
            <w:tcW w:type="dxa" w:w="1728"/>
          </w:tcPr>
          <w:p>
            <w:r>
              <w:rPr>
                <w:rFonts w:ascii="Calibri" w:hAnsi="Calibri"/>
                <w:sz w:val="18"/>
              </w:rPr>
              <w:t>reference host (flagship)</w:t>
            </w:r>
          </w:p>
        </w:tc>
        <w:tc>
          <w:tcPr>
            <w:tcW w:type="dxa" w:w="1728"/>
          </w:tcPr>
          <w:p>
            <w:r>
              <w:rPr>
                <w:rFonts w:ascii="Calibri" w:hAnsi="Calibri"/>
                <w:sz w:val="18"/>
              </w:rPr>
              <w:t>3</w:t>
            </w:r>
          </w:p>
        </w:tc>
        <w:tc>
          <w:tcPr>
            <w:tcW w:type="dxa" w:w="1728"/>
          </w:tcPr>
          <w:p>
            <w:r>
              <w:rPr>
                <w:rFonts w:ascii="Calibri" w:hAnsi="Calibri"/>
                <w:sz w:val="18"/>
              </w:rPr>
              <w:t>https://www.data.gov</w:t>
            </w:r>
          </w:p>
        </w:tc>
      </w:tr>
    </w:tbl>
    <w:p>
      <w:r>
        <w:br w:type="page"/>
      </w:r>
    </w:p>
    <w:p>
      <w:r>
        <w:rPr>
          <w:rFonts w:ascii="Calibri" w:hAnsi="Calibri"/>
          <w:b/>
          <w:sz w:val="26"/>
        </w:rPr>
        <w:t>The rung-two listing</w:t>
      </w:r>
    </w:p>
    <w:p>
      <w:r>
        <w:rPr>
          <w:rFonts w:ascii="Calibri" w:hAnsi="Calibri"/>
          <w:b w:val="0"/>
          <w:sz w:val="18"/>
        </w:rPr>
        <w:t>Where the record is silent the cell reads "to be confirmed"; nothing is inferred.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rPr>
              <w:t>Body</w:t>
            </w:r>
          </w:p>
        </w:tc>
        <w:tc>
          <w:tcPr>
            <w:tcW w:type="dxa" w:w="1728"/>
          </w:tcPr>
          <w:p>
            <w:r>
              <w:rPr>
                <w:rFonts w:ascii="Calibri" w:hAnsi="Calibri"/>
                <w:b/>
              </w:rPr>
              <w:t>Surface</w:t>
            </w:r>
          </w:p>
        </w:tc>
        <w:tc>
          <w:tcPr>
            <w:tcW w:type="dxa" w:w="1728"/>
          </w:tcPr>
          <w:p>
            <w:r>
              <w:rPr>
                <w:rFonts w:ascii="Calibri" w:hAnsi="Calibri"/>
                <w:b/>
              </w:rPr>
              <w:t>Key required</w:t>
            </w:r>
          </w:p>
        </w:tc>
        <w:tc>
          <w:tcPr>
            <w:tcW w:type="dxa" w:w="1728"/>
          </w:tcPr>
          <w:p>
            <w:r>
              <w:rPr>
                <w:rFonts w:ascii="Calibri" w:hAnsi="Calibri"/>
                <w:b/>
              </w:rPr>
              <w:t>Registration open</w:t>
            </w:r>
          </w:p>
        </w:tc>
        <w:tc>
          <w:tcPr>
            <w:tcW w:type="dxa" w:w="1728"/>
          </w:tcPr>
          <w:p>
            <w:r>
              <w:rPr>
                <w:rFonts w:ascii="Calibri" w:hAnsi="Calibri"/>
                <w:b/>
              </w:rPr>
              <w:t>Source</w:t>
            </w:r>
          </w:p>
        </w:tc>
      </w:tr>
      <w:tr>
        <w:tc>
          <w:tcPr>
            <w:tcW w:type="dxa" w:w="1728"/>
          </w:tcPr>
          <w:p>
            <w:r>
              <w:rPr>
                <w:rFonts w:ascii="Calibri" w:hAnsi="Calibri"/>
                <w:sz w:val="16"/>
              </w:rPr>
              <w:t>BEA</w:t>
            </w:r>
          </w:p>
        </w:tc>
        <w:tc>
          <w:tcPr>
            <w:tcW w:type="dxa" w:w="1728"/>
          </w:tcPr>
          <w:p>
            <w:r>
              <w:rPr>
                <w:rFonts w:ascii="Calibri" w:hAnsi="Calibri"/>
                <w:sz w:val="16"/>
              </w:rPr>
              <w:t>https://www.bea.gov/open-data</w:t>
            </w:r>
          </w:p>
        </w:tc>
        <w:tc>
          <w:tcPr>
            <w:tcW w:type="dxa" w:w="1728"/>
          </w:tcPr>
          <w:p>
            <w:r>
              <w:rPr>
                <w:rFonts w:ascii="Calibri" w:hAnsi="Calibri"/>
                <w:sz w:val="16"/>
              </w:rPr>
              <w:t>to be confirmed</w:t>
            </w:r>
          </w:p>
        </w:tc>
        <w:tc>
          <w:tcPr>
            <w:tcW w:type="dxa" w:w="1728"/>
          </w:tcPr>
          <w:p>
            <w:r>
              <w:rPr>
                <w:rFonts w:ascii="Calibri" w:hAnsi="Calibri"/>
                <w:sz w:val="16"/>
              </w:rPr>
              <w:t>to be confirmed</w:t>
            </w:r>
          </w:p>
        </w:tc>
        <w:tc>
          <w:tcPr>
            <w:tcW w:type="dxa" w:w="1728"/>
          </w:tcPr>
          <w:p>
            <w:r>
              <w:rPr>
                <w:rFonts w:ascii="Calibri" w:hAnsi="Calibri"/>
                <w:sz w:val="16"/>
              </w:rPr>
              <w:t>to be confirmed</w:t>
            </w:r>
          </w:p>
        </w:tc>
      </w:tr>
      <w:tr>
        <w:tc>
          <w:tcPr>
            <w:tcW w:type="dxa" w:w="1728"/>
          </w:tcPr>
          <w:p>
            <w:r>
              <w:rPr>
                <w:rFonts w:ascii="Calibri" w:hAnsi="Calibri"/>
                <w:sz w:val="16"/>
              </w:rPr>
              <w:t>CENSUS</w:t>
            </w:r>
          </w:p>
        </w:tc>
        <w:tc>
          <w:tcPr>
            <w:tcW w:type="dxa" w:w="1728"/>
          </w:tcPr>
          <w:p>
            <w:r>
              <w:rPr>
                <w:rFonts w:ascii="Calibri" w:hAnsi="Calibri"/>
                <w:sz w:val="16"/>
              </w:rPr>
              <w:t>https://www.census.gov/data/datasets.html</w:t>
            </w:r>
          </w:p>
        </w:tc>
        <w:tc>
          <w:tcPr>
            <w:tcW w:type="dxa" w:w="1728"/>
          </w:tcPr>
          <w:p>
            <w:r>
              <w:rPr>
                <w:rFonts w:ascii="Calibri" w:hAnsi="Calibri"/>
                <w:sz w:val="16"/>
              </w:rPr>
              <w:t>to be confirmed</w:t>
            </w:r>
          </w:p>
        </w:tc>
        <w:tc>
          <w:tcPr>
            <w:tcW w:type="dxa" w:w="1728"/>
          </w:tcPr>
          <w:p>
            <w:r>
              <w:rPr>
                <w:rFonts w:ascii="Calibri" w:hAnsi="Calibri"/>
                <w:sz w:val="16"/>
              </w:rPr>
              <w:t>to be confirmed</w:t>
            </w:r>
          </w:p>
        </w:tc>
        <w:tc>
          <w:tcPr>
            <w:tcW w:type="dxa" w:w="1728"/>
          </w:tcPr>
          <w:p>
            <w:r>
              <w:rPr>
                <w:rFonts w:ascii="Calibri" w:hAnsi="Calibri"/>
                <w:sz w:val="16"/>
              </w:rPr>
              <w:t>to be confirmed</w:t>
            </w:r>
          </w:p>
        </w:tc>
      </w:tr>
      <w:tr>
        <w:tc>
          <w:tcPr>
            <w:tcW w:type="dxa" w:w="1728"/>
          </w:tcPr>
          <w:p>
            <w:r>
              <w:rPr>
                <w:rFonts w:ascii="Calibri" w:hAnsi="Calibri"/>
                <w:sz w:val="16"/>
              </w:rPr>
              <w:t>EIA</w:t>
            </w:r>
          </w:p>
        </w:tc>
        <w:tc>
          <w:tcPr>
            <w:tcW w:type="dxa" w:w="1728"/>
          </w:tcPr>
          <w:p>
            <w:r>
              <w:rPr>
                <w:rFonts w:ascii="Calibri" w:hAnsi="Calibri"/>
                <w:sz w:val="16"/>
              </w:rPr>
              <w:t>https://www.eia.gov/opendata/browser/</w:t>
            </w:r>
          </w:p>
        </w:tc>
        <w:tc>
          <w:tcPr>
            <w:tcW w:type="dxa" w:w="1728"/>
          </w:tcPr>
          <w:p>
            <w:r>
              <w:rPr>
                <w:rFonts w:ascii="Calibri" w:hAnsi="Calibri"/>
                <w:sz w:val="16"/>
              </w:rPr>
              <w:t>to be confirmed</w:t>
            </w:r>
          </w:p>
        </w:tc>
        <w:tc>
          <w:tcPr>
            <w:tcW w:type="dxa" w:w="1728"/>
          </w:tcPr>
          <w:p>
            <w:r>
              <w:rPr>
                <w:rFonts w:ascii="Calibri" w:hAnsi="Calibri"/>
                <w:sz w:val="16"/>
              </w:rPr>
              <w:t>to be confirmed</w:t>
            </w:r>
          </w:p>
        </w:tc>
        <w:tc>
          <w:tcPr>
            <w:tcW w:type="dxa" w:w="1728"/>
          </w:tcPr>
          <w:p>
            <w:r>
              <w:rPr>
                <w:rFonts w:ascii="Calibri" w:hAnsi="Calibri"/>
                <w:sz w:val="16"/>
              </w:rPr>
              <w:t>to be confirmed</w:t>
            </w:r>
          </w:p>
        </w:tc>
      </w:tr>
      <w:tr>
        <w:tc>
          <w:tcPr>
            <w:tcW w:type="dxa" w:w="1728"/>
          </w:tcPr>
          <w:p>
            <w:r>
              <w:rPr>
                <w:rFonts w:ascii="Calibri" w:hAnsi="Calibri"/>
                <w:sz w:val="16"/>
              </w:rPr>
              <w:t>ERS</w:t>
            </w:r>
          </w:p>
        </w:tc>
        <w:tc>
          <w:tcPr>
            <w:tcW w:type="dxa" w:w="1728"/>
          </w:tcPr>
          <w:p>
            <w:r>
              <w:rPr>
                <w:rFonts w:ascii="Calibri" w:hAnsi="Calibri"/>
                <w:sz w:val="16"/>
              </w:rPr>
              <w:t>https://www.ers.usda.gov/data-products?type=downloadable-data-files</w:t>
            </w:r>
          </w:p>
        </w:tc>
        <w:tc>
          <w:tcPr>
            <w:tcW w:type="dxa" w:w="1728"/>
          </w:tcPr>
          <w:p>
            <w:r>
              <w:rPr>
                <w:rFonts w:ascii="Calibri" w:hAnsi="Calibri"/>
                <w:sz w:val="16"/>
              </w:rPr>
              <w:t>to be confirmed</w:t>
            </w:r>
          </w:p>
        </w:tc>
        <w:tc>
          <w:tcPr>
            <w:tcW w:type="dxa" w:w="1728"/>
          </w:tcPr>
          <w:p>
            <w:r>
              <w:rPr>
                <w:rFonts w:ascii="Calibri" w:hAnsi="Calibri"/>
                <w:sz w:val="16"/>
              </w:rPr>
              <w:t>to be confirmed</w:t>
            </w:r>
          </w:p>
        </w:tc>
        <w:tc>
          <w:tcPr>
            <w:tcW w:type="dxa" w:w="1728"/>
          </w:tcPr>
          <w:p>
            <w:r>
              <w:rPr>
                <w:rFonts w:ascii="Calibri" w:hAnsi="Calibri"/>
                <w:sz w:val="16"/>
              </w:rPr>
              <w:t>to be confirmed</w:t>
            </w:r>
          </w:p>
        </w:tc>
      </w:tr>
      <w:tr>
        <w:tc>
          <w:tcPr>
            <w:tcW w:type="dxa" w:w="1728"/>
          </w:tcPr>
          <w:p>
            <w:r>
              <w:rPr>
                <w:rFonts w:ascii="Calibri" w:hAnsi="Calibri"/>
                <w:sz w:val="16"/>
              </w:rPr>
              <w:t>NASS</w:t>
            </w:r>
          </w:p>
        </w:tc>
        <w:tc>
          <w:tcPr>
            <w:tcW w:type="dxa" w:w="1728"/>
          </w:tcPr>
          <w:p>
            <w:r>
              <w:rPr>
                <w:rFonts w:ascii="Calibri" w:hAnsi="Calibri"/>
                <w:sz w:val="16"/>
              </w:rPr>
              <w:t>https://www.nass.usda.gov/datasets</w:t>
            </w:r>
          </w:p>
        </w:tc>
        <w:tc>
          <w:tcPr>
            <w:tcW w:type="dxa" w:w="1728"/>
          </w:tcPr>
          <w:p>
            <w:r>
              <w:rPr>
                <w:rFonts w:ascii="Calibri" w:hAnsi="Calibri"/>
                <w:sz w:val="16"/>
              </w:rPr>
              <w:t>to be confirmed</w:t>
            </w:r>
          </w:p>
        </w:tc>
        <w:tc>
          <w:tcPr>
            <w:tcW w:type="dxa" w:w="1728"/>
          </w:tcPr>
          <w:p>
            <w:r>
              <w:rPr>
                <w:rFonts w:ascii="Calibri" w:hAnsi="Calibri"/>
                <w:sz w:val="16"/>
              </w:rPr>
              <w:t>to be confirmed</w:t>
            </w:r>
          </w:p>
        </w:tc>
        <w:tc>
          <w:tcPr>
            <w:tcW w:type="dxa" w:w="1728"/>
          </w:tcPr>
          <w:p>
            <w:r>
              <w:rPr>
                <w:rFonts w:ascii="Calibri" w:hAnsi="Calibri"/>
                <w:sz w:val="16"/>
              </w:rPr>
              <w:t>to be confirmed</w:t>
            </w:r>
          </w:p>
        </w:tc>
      </w:tr>
      <w:tr>
        <w:tc>
          <w:tcPr>
            <w:tcW w:type="dxa" w:w="1728"/>
          </w:tcPr>
          <w:p>
            <w:r>
              <w:rPr>
                <w:rFonts w:ascii="Calibri" w:hAnsi="Calibri"/>
                <w:sz w:val="16"/>
              </w:rPr>
              <w:t>NCHS</w:t>
            </w:r>
          </w:p>
        </w:tc>
        <w:tc>
          <w:tcPr>
            <w:tcW w:type="dxa" w:w="1728"/>
          </w:tcPr>
          <w:p>
            <w:r>
              <w:rPr>
                <w:rFonts w:ascii="Calibri" w:hAnsi="Calibri"/>
                <w:sz w:val="16"/>
              </w:rPr>
              <w:t>https://www.cdc.gov/nchs/nvss/vsrr.htm</w:t>
            </w:r>
          </w:p>
        </w:tc>
        <w:tc>
          <w:tcPr>
            <w:tcW w:type="dxa" w:w="1728"/>
          </w:tcPr>
          <w:p>
            <w:r>
              <w:rPr>
                <w:rFonts w:ascii="Calibri" w:hAnsi="Calibri"/>
                <w:sz w:val="16"/>
              </w:rPr>
              <w:t>to be confirmed</w:t>
            </w:r>
          </w:p>
        </w:tc>
        <w:tc>
          <w:tcPr>
            <w:tcW w:type="dxa" w:w="1728"/>
          </w:tcPr>
          <w:p>
            <w:r>
              <w:rPr>
                <w:rFonts w:ascii="Calibri" w:hAnsi="Calibri"/>
                <w:sz w:val="16"/>
              </w:rPr>
              <w:t>to be confirmed</w:t>
            </w:r>
          </w:p>
        </w:tc>
        <w:tc>
          <w:tcPr>
            <w:tcW w:type="dxa" w:w="1728"/>
          </w:tcPr>
          <w:p>
            <w:r>
              <w:rPr>
                <w:rFonts w:ascii="Calibri" w:hAnsi="Calibri"/>
                <w:sz w:val="16"/>
              </w:rPr>
              <w:t>to be confirmed</w:t>
            </w:r>
          </w:p>
        </w:tc>
      </w:tr>
      <w:tr>
        <w:tc>
          <w:tcPr>
            <w:tcW w:type="dxa" w:w="1728"/>
          </w:tcPr>
          <w:p>
            <w:r>
              <w:rPr>
                <w:rFonts w:ascii="Calibri" w:hAnsi="Calibri"/>
                <w:sz w:val="16"/>
              </w:rPr>
              <w:t>NCSES</w:t>
            </w:r>
          </w:p>
        </w:tc>
        <w:tc>
          <w:tcPr>
            <w:tcW w:type="dxa" w:w="1728"/>
          </w:tcPr>
          <w:p>
            <w:r>
              <w:rPr>
                <w:rFonts w:ascii="Calibri" w:hAnsi="Calibri"/>
                <w:sz w:val="16"/>
              </w:rPr>
              <w:t>https://ncses.nsf.gov/explore-data/microdata</w:t>
            </w:r>
          </w:p>
        </w:tc>
        <w:tc>
          <w:tcPr>
            <w:tcW w:type="dxa" w:w="1728"/>
          </w:tcPr>
          <w:p>
            <w:r>
              <w:rPr>
                <w:rFonts w:ascii="Calibri" w:hAnsi="Calibri"/>
                <w:sz w:val="16"/>
              </w:rPr>
              <w:t>to be confirmed</w:t>
            </w:r>
          </w:p>
        </w:tc>
        <w:tc>
          <w:tcPr>
            <w:tcW w:type="dxa" w:w="1728"/>
          </w:tcPr>
          <w:p>
            <w:r>
              <w:rPr>
                <w:rFonts w:ascii="Calibri" w:hAnsi="Calibri"/>
                <w:sz w:val="16"/>
              </w:rPr>
              <w:t>to be confirmed</w:t>
            </w:r>
          </w:p>
        </w:tc>
        <w:tc>
          <w:tcPr>
            <w:tcW w:type="dxa" w:w="1728"/>
          </w:tcPr>
          <w:p>
            <w:r>
              <w:rPr>
                <w:rFonts w:ascii="Calibri" w:hAnsi="Calibri"/>
                <w:sz w:val="16"/>
              </w:rPr>
              <w:t>to be confirmed</w:t>
            </w:r>
          </w:p>
        </w:tc>
      </w:tr>
      <w:tr>
        <w:tc>
          <w:tcPr>
            <w:tcW w:type="dxa" w:w="1728"/>
          </w:tcPr>
          <w:p>
            <w:r>
              <w:rPr>
                <w:rFonts w:ascii="Calibri" w:hAnsi="Calibri"/>
                <w:sz w:val="16"/>
              </w:rPr>
              <w:t>GSA</w:t>
            </w:r>
          </w:p>
        </w:tc>
        <w:tc>
          <w:tcPr>
            <w:tcW w:type="dxa" w:w="1728"/>
          </w:tcPr>
          <w:p>
            <w:r>
              <w:rPr>
                <w:rFonts w:ascii="Calibri" w:hAnsi="Calibri"/>
                <w:sz w:val="16"/>
              </w:rPr>
              <w:t>https://open.gsa.gov</w:t>
            </w:r>
          </w:p>
        </w:tc>
        <w:tc>
          <w:tcPr>
            <w:tcW w:type="dxa" w:w="1728"/>
          </w:tcPr>
          <w:p>
            <w:r>
              <w:rPr>
                <w:rFonts w:ascii="Calibri" w:hAnsi="Calibri"/>
                <w:sz w:val="16"/>
              </w:rPr>
              <w:t>to be confirmed</w:t>
            </w:r>
          </w:p>
        </w:tc>
        <w:tc>
          <w:tcPr>
            <w:tcW w:type="dxa" w:w="1728"/>
          </w:tcPr>
          <w:p>
            <w:r>
              <w:rPr>
                <w:rFonts w:ascii="Calibri" w:hAnsi="Calibri"/>
                <w:sz w:val="16"/>
              </w:rPr>
              <w:t>to be confirmed</w:t>
            </w:r>
          </w:p>
        </w:tc>
        <w:tc>
          <w:tcPr>
            <w:tcW w:type="dxa" w:w="1728"/>
          </w:tcPr>
          <w:p>
            <w:r>
              <w:rPr>
                <w:rFonts w:ascii="Calibri" w:hAnsi="Calibri"/>
                <w:sz w:val="16"/>
              </w:rPr>
              <w:t>to be confirmed</w:t>
            </w:r>
          </w:p>
        </w:tc>
      </w:tr>
      <w:tr>
        <w:tc>
          <w:tcPr>
            <w:tcW w:type="dxa" w:w="1728"/>
          </w:tcPr>
          <w:p>
            <w:r>
              <w:rPr>
                <w:rFonts w:ascii="Calibri" w:hAnsi="Calibri"/>
                <w:sz w:val="16"/>
              </w:rPr>
              <w:t>NIST</w:t>
            </w:r>
          </w:p>
        </w:tc>
        <w:tc>
          <w:tcPr>
            <w:tcW w:type="dxa" w:w="1728"/>
          </w:tcPr>
          <w:p>
            <w:r>
              <w:rPr>
                <w:rFonts w:ascii="Calibri" w:hAnsi="Calibri"/>
                <w:sz w:val="16"/>
              </w:rPr>
              <w:t>https://data.nist.gov</w:t>
            </w:r>
          </w:p>
        </w:tc>
        <w:tc>
          <w:tcPr>
            <w:tcW w:type="dxa" w:w="1728"/>
          </w:tcPr>
          <w:p>
            <w:r>
              <w:rPr>
                <w:rFonts w:ascii="Calibri" w:hAnsi="Calibri"/>
                <w:sz w:val="16"/>
              </w:rPr>
              <w:t>to be confirmed</w:t>
            </w:r>
          </w:p>
        </w:tc>
        <w:tc>
          <w:tcPr>
            <w:tcW w:type="dxa" w:w="1728"/>
          </w:tcPr>
          <w:p>
            <w:r>
              <w:rPr>
                <w:rFonts w:ascii="Calibri" w:hAnsi="Calibri"/>
                <w:sz w:val="16"/>
              </w:rPr>
              <w:t>to be confirmed</w:t>
            </w:r>
          </w:p>
        </w:tc>
        <w:tc>
          <w:tcPr>
            <w:tcW w:type="dxa" w:w="1728"/>
          </w:tcPr>
          <w:p>
            <w:r>
              <w:rPr>
                <w:rFonts w:ascii="Calibri" w:hAnsi="Calibri"/>
                <w:sz w:val="16"/>
              </w:rPr>
              <w:t>to be confirmed</w:t>
            </w:r>
          </w:p>
        </w:tc>
      </w:tr>
      <w:tr>
        <w:tc>
          <w:tcPr>
            <w:tcW w:type="dxa" w:w="1728"/>
          </w:tcPr>
          <w:p>
            <w:r>
              <w:rPr>
                <w:rFonts w:ascii="Calibri" w:hAnsi="Calibri"/>
                <w:sz w:val="16"/>
              </w:rPr>
              <w:t>data.gov</w:t>
            </w:r>
          </w:p>
        </w:tc>
        <w:tc>
          <w:tcPr>
            <w:tcW w:type="dxa" w:w="1728"/>
          </w:tcPr>
          <w:p>
            <w:r>
              <w:rPr>
                <w:rFonts w:ascii="Calibri" w:hAnsi="Calibri"/>
                <w:sz w:val="16"/>
              </w:rPr>
              <w:t>https://catalog.data.gov</w:t>
            </w:r>
          </w:p>
        </w:tc>
        <w:tc>
          <w:tcPr>
            <w:tcW w:type="dxa" w:w="1728"/>
          </w:tcPr>
          <w:p>
            <w:r>
              <w:rPr>
                <w:rFonts w:ascii="Calibri" w:hAnsi="Calibri"/>
                <w:sz w:val="16"/>
              </w:rPr>
              <w:t>to be confirmed</w:t>
            </w:r>
          </w:p>
        </w:tc>
        <w:tc>
          <w:tcPr>
            <w:tcW w:type="dxa" w:w="1728"/>
          </w:tcPr>
          <w:p>
            <w:r>
              <w:rPr>
                <w:rFonts w:ascii="Calibri" w:hAnsi="Calibri"/>
                <w:sz w:val="16"/>
              </w:rPr>
              <w:t>to be confirmed</w:t>
            </w:r>
          </w:p>
        </w:tc>
        <w:tc>
          <w:tcPr>
            <w:tcW w:type="dxa" w:w="1728"/>
          </w:tcPr>
          <w:p>
            <w:r>
              <w:rPr>
                <w:rFonts w:ascii="Calibri" w:hAnsi="Calibri"/>
                <w:sz w:val="16"/>
              </w:rPr>
              <w:t>to be confirmed</w:t>
            </w:r>
          </w:p>
        </w:tc>
      </w:tr>
    </w:tbl>
    <w:p>
      <w:r>
        <w:br w:type="page"/>
      </w:r>
    </w:p>
    <w:p>
      <w:r>
        <w:rPr>
          <w:rFonts w:ascii="Calibri" w:hAnsi="Calibri"/>
          <w:b/>
          <w:sz w:val="26"/>
        </w:rPr>
        <w:t>What comes next</w:t>
      </w:r>
    </w:p>
    <w:p>
      <w:pPr>
        <w:pStyle w:val="ListBullet"/>
      </w:pPr>
      <w:r>
        <w:rPr>
          <w:rFonts w:ascii="Calibri" w:hAnsi="Calibri"/>
          <w:b/>
          <w:sz w:val="21"/>
        </w:rPr>
        <w:t xml:space="preserve">The access check. </w:t>
      </w:r>
      <w:r>
        <w:rPr>
          <w:rFonts w:ascii="Calibri" w:hAnsi="Calibri"/>
          <w:sz w:val="21"/>
        </w:rPr>
        <w:t>Whether the host answers an anonymous, identified client at all — the FAIR letter's first rung (A1 and A1.1). It is specified and not yet run; it is its own task.</w:t>
      </w:r>
    </w:p>
    <w:p>
      <w:pPr>
        <w:pStyle w:val="ListBullet"/>
      </w:pPr>
      <w:r>
        <w:rPr>
          <w:rFonts w:ascii="Calibri" w:hAnsi="Calibri"/>
          <w:b/>
          <w:sz w:val="21"/>
        </w:rPr>
        <w:t xml:space="preserve">The first measured rung-two cycle. </w:t>
      </w:r>
      <w:r>
        <w:rPr>
          <w:rFonts w:ascii="Calibri" w:hAnsi="Calibri"/>
          <w:sz w:val="21"/>
        </w:rPr>
        <w:t>The same checks run by the public client registered as any member of the public registers, presenting a key obtained by open registration. The surfaces that take a key are listed here; no rung-two result is shown before a measured cycle exists. It is its own task, with its own pre-registration.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