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E4F" w:sz="8" w:space="6"/>
        </w:pBdr>
        <w:spacing w:after="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Solicitação de Integração — Fase 1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Consulta de catálogo, preços, orçamentos e baixa financeira (somente leitura)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Documento de apoio · Versão 2.0 · Agosto/2026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0B6E4F"/>
          <w:sz w:val="25"/>
          <w:szCs w:val="25"/>
        </w:rPr>
        <w:t xml:space="preserve">1. Contexto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Estamos desenvolvendo um CRM comercial para o laboratório, com equipe própria. O sistema organiza o atendimento ao paciente, monta o orçamento de exames e acompanha o funil comercial até o fechamento.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O CRM não substitui o LIS. Ele atua na etapa anterior ao pedido — da primeira mensagem do paciente até o orçamento aceito. A partir daí, o processo segue normalmente no Bitlab, que permanece como sistema-mestre do laboratório.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São dois problemas concretos que esta fase resolve. Primeiro: hoje o catálogo de exames e os preços são digitados e mantidos manualmente no CRM, o que gera divergência entre o valor informado ao paciente e o valor real praticado pelo laboratório. Segundo: não temos como confirmar se um orçamento foi de fato convertido em requisição e recebido — o desfecho comercial é marcado manualmente pela atendente, sem confronto com o que aconteceu no LIS.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0B6E4F"/>
          <w:sz w:val="25"/>
          <w:szCs w:val="25"/>
        </w:rPr>
        <w:t xml:space="preserve">2. Com qual sistema vamos integrar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Não há empresa parceira nem software de terceiros envolvido. A integração é com um sistema proprietário, desenvolvido internamente para uso do próprio laboratório.</w:t>
      </w:r>
    </w:p>
    <w:p>
      <w:pPr>
        <w:spacing w:after="120"/>
      </w:pP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B6E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760"/>
            <w:shd w:fill="0B6E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Natureza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Software proprietário, uso interno. Não é revenda nem produto de terceiro.</w:t>
            </w:r>
          </w:p>
        </w:tc>
      </w:tr>
      <w:tr>
        <w:tc>
          <w:tcPr>
            <w:tcW w:type="dxa" w:w="260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Arquitetura</w:t>
            </w:r>
          </w:p>
        </w:tc>
        <w:tc>
          <w:tcPr>
            <w:tcW w:type="dxa" w:w="676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Aplicação web. Backend Node.js + TypeScript, API REST. Banco PostgreSQL.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Formatos que conseguimos consumir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REST/JSON (preferência), SOAP/XML, HL7 v2.x ou troca de arquivos (CSV/TXT via diretório ou SFTP).</w:t>
            </w:r>
          </w:p>
        </w:tc>
      </w:tr>
      <w:tr>
        <w:tc>
          <w:tcPr>
            <w:tcW w:type="dxa" w:w="260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Ambientes</w:t>
            </w:r>
          </w:p>
        </w:tc>
        <w:tc>
          <w:tcPr>
            <w:tcW w:type="dxa" w:w="676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Desenvolvimento, homologação e produção separados.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Hospedagem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[PREENCHER: nuvem ou on-premise, e faixa de IP de saída caso precise liberação em firewall]</w:t>
            </w:r>
          </w:p>
        </w:tc>
      </w:tr>
    </w:tbl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0B6E4F"/>
          <w:sz w:val="25"/>
          <w:szCs w:val="25"/>
        </w:rPr>
        <w:t xml:space="preserve">3. Escopo desta fase — somente leitura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Em toda esta fase o CRM apenas consulta dados do Bitlab. Nenhuma informação é gravada, alterada ou excluída no LIS. O escopo está dividido em dois blocos independentes: caso apenas um seja viável no primeiro momento, ele já traz ganho isolado.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Bloco A — Catálogo de exames e tabelas de preço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Objetivo: o CRM deixa de manter catálogo e preços em duplicidade e passa a espelhar o que já existe no Bitlab. Não envolve nenhum dado de paciente.</w:t>
      </w:r>
    </w:p>
    <w:p>
      <w:pPr>
        <w:spacing w:after="120"/>
      </w:pP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3200"/>
        <w:gridCol w:w="3400"/>
        <w:gridCol w:w="2760"/>
      </w:tblGrid>
      <w:tr>
        <w:trPr>
          <w:tblHeader/>
        </w:trPr>
        <w:tc>
          <w:tcPr>
            <w:tcW w:type="dxa" w:w="3200"/>
            <w:shd w:fill="0B6E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Dado</w:t>
            </w:r>
          </w:p>
        </w:tc>
        <w:tc>
          <w:tcPr>
            <w:tcW w:type="dxa" w:w="3400"/>
            <w:shd w:fill="0B6E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 no CRM</w:t>
            </w:r>
          </w:p>
        </w:tc>
        <w:tc>
          <w:tcPr>
            <w:tcW w:type="dxa" w:w="2760"/>
            <w:shd w:fill="0B6E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Frequência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Catálogo de exames — código/mnemônico, nome, sinônimos, categoria, situação ativo/inativo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Busca do exame pela atendente e montagem do orçamento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Sincronização diária</w:t>
            </w:r>
          </w:p>
        </w:tc>
      </w:tr>
      <w:tr>
        <w:tc>
          <w:tcPr>
            <w:tcW w:type="dxa" w:w="320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Tabela de preço particular</w:t>
            </w:r>
          </w:p>
        </w:tc>
        <w:tc>
          <w:tcPr>
            <w:tcW w:type="dxa" w:w="340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Cálculo do valor do orçamento particular</w:t>
            </w:r>
          </w:p>
        </w:tc>
        <w:tc>
          <w:tcPr>
            <w:tcW w:type="dxa" w:w="276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Diária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Tabelas de preço por convênio, com código TUSS/AMB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Orçamento para paciente de convênio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Diária</w:t>
            </w:r>
          </w:p>
        </w:tc>
      </w:tr>
      <w:tr>
        <w:tc>
          <w:tcPr>
            <w:tcW w:type="dxa" w:w="320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Instruções de preparo do paciente</w:t>
            </w:r>
          </w:p>
        </w:tc>
        <w:tc>
          <w:tcPr>
            <w:tcW w:type="dxa" w:w="340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Enviadas junto com o orçamento</w:t>
            </w:r>
          </w:p>
        </w:tc>
        <w:tc>
          <w:tcPr>
            <w:tcW w:type="dxa" w:w="276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Diária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Prazo de entrega (TAT) e material/recipiente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Informação ao paciente durante a negociação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Diária</w:t>
            </w:r>
          </w:p>
        </w:tc>
      </w:tr>
      <w:tr>
        <w:tc>
          <w:tcPr>
            <w:tcW w:type="dxa" w:w="320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Composição de painéis / exames vinculados</w:t>
            </w:r>
          </w:p>
        </w:tc>
        <w:tc>
          <w:tcPr>
            <w:tcW w:type="dxa" w:w="340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Evitar orçamento incompleto ou item duplicado</w:t>
            </w:r>
          </w:p>
        </w:tc>
        <w:tc>
          <w:tcPr>
            <w:tcW w:type="dxa" w:w="276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Diária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Bloco B — Orçamentos, requisições e baixa financeira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Objetivo: fechar o ciclo comercial com dado real. Sabemos que no Bitlab são gerados orçamentos, que geram requisições vinculadas, e que posteriormente é dada baixa nessas requisições com o valor efetivamente pago pelo cliente. É exatamente essa cadeia que precisamos conseguir consultar.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Com ela, o CRM deixa de depender da marcação manual da atendente para saber se o negócio foi ganho, e passa a medir taxa de conversão e ticket médio pelo valor recebido, não pelo valor orçado.</w:t>
      </w:r>
    </w:p>
    <w:p>
      <w:pPr>
        <w:spacing w:after="120"/>
      </w:pP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3200"/>
        <w:gridCol w:w="3400"/>
        <w:gridCol w:w="2760"/>
      </w:tblGrid>
      <w:tr>
        <w:trPr>
          <w:tblHeader/>
        </w:trPr>
        <w:tc>
          <w:tcPr>
            <w:tcW w:type="dxa" w:w="3200"/>
            <w:shd w:fill="0B6E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Dado</w:t>
            </w:r>
          </w:p>
        </w:tc>
        <w:tc>
          <w:tcPr>
            <w:tcW w:type="dxa" w:w="3400"/>
            <w:shd w:fill="0B6E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 no CRM</w:t>
            </w:r>
          </w:p>
        </w:tc>
        <w:tc>
          <w:tcPr>
            <w:tcW w:type="dxa" w:w="2760"/>
            <w:shd w:fill="0B6E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Frequência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Orçamento — número, data, unidade, situação, convênio, itens (código do exame e valor) e valor total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Confrontar o orçamento enviado ao paciente com o que foi registrado no LIS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Consulta por período, diária</w:t>
            </w:r>
          </w:p>
        </w:tc>
      </w:tr>
      <w:tr>
        <w:tc>
          <w:tcPr>
            <w:tcW w:type="dxa" w:w="320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Requisição — número, data, situação e identificador do orçamento que a originou</w:t>
            </w:r>
          </w:p>
        </w:tc>
        <w:tc>
          <w:tcPr>
            <w:tcW w:type="dxa" w:w="340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Confirmar que o orçamento virou pedido efetivo</w:t>
            </w:r>
          </w:p>
        </w:tc>
        <w:tc>
          <w:tcPr>
            <w:tcW w:type="dxa" w:w="276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Diária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Baixa da requisição — valor pago, data do pagamento, forma de pagamento, desconto concedido e situação (pago, parcial, cancelado, estornado)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Medir receita realizada, ticket médio real e desconto praticado no balcão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Diária</w:t>
            </w:r>
          </w:p>
        </w:tc>
      </w:tr>
      <w:tr>
        <w:tc>
          <w:tcPr>
            <w:tcW w:type="dxa" w:w="320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Cancelamento ou estorno</w:t>
            </w:r>
          </w:p>
        </w:tc>
        <w:tc>
          <w:tcPr>
            <w:tcW w:type="dxa" w:w="340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Corrigir os indicadores de conversão</w:t>
            </w:r>
          </w:p>
        </w:tc>
        <w:tc>
          <w:tcPr>
            <w:tcW w:type="dxa" w:w="2760"/>
            <w:shd w:fill="F2F4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Diária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Como amarrar o orçamento do CRM ao orçamento do Bitlab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Esse é o ponto que gostaríamos de discutir com vocês. Duas alternativas, em ordem de preferência: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Por código de referência. Se o orçamento do Bitlab possuir um campo livre — observação, referência externa ou similar — a atendente registra ali o número do orçamento do CRM no momento do atendimento. A amarração passa a ser feita por esse código, sem qualquer dado pessoal trafegando e sem necessidade de escrita via API. É a alternativa que preferimos.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Por chave do paciente. Consulta dos orçamentos por CPF ou telefone do paciente, retornando apenas o mínimo necessário para a reconciliação. Nesse caso, não precisamos do cadastro do paciente — nome, endereço, convênio ou qualquer outro dado além da chave de busca.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0B6E4F"/>
          <w:sz w:val="25"/>
          <w:szCs w:val="25"/>
        </w:rPr>
        <w:t xml:space="preserve">4. Fora do escopo desta fase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Qualquer operação de escrita, alteração ou exclusão no LIS.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Cadastro de pacientes, criação de pedidos e agendamento de coleta.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Laudos e resultados de exames. Não temos interesse em acessar nem armazenar conteúdo clínico.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0B6E4F"/>
          <w:sz w:val="25"/>
          <w:szCs w:val="25"/>
        </w:rPr>
        <w:t xml:space="preserve">5. O que solicitamos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Entendemos que não existe documentação pública e que as integrações são feitas sob demanda. Nossa solicitação é pela especificação técnica que puder ser disponibilizada para este cenário, contemplando: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Endpoints ou serviços disponíveis para os dois blocos acima, com método, parâmetros e exemplo de requisição e resposta.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Dicionário de dados: nome, tipo e domínio de valores de cada campo — em especial os códigos de exame, de convênio, de situação de orçamento e de situação da baixa.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 a requisição carrega o identificador do orçamento que a originou, e se a baixa carrega o identificador da requisição — ou seja, se a cadeia orçamento → requisição → baixa é rastreável por consulta.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 o orçamento possui campo livre de referência externa utilizável para a amarração descrita no item 3, e se esse campo é retornado nas consultas.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 é possível consultar orçamentos, requisições e baixas por período (por exemplo, movimento do dia) e por filtro incremental de data de alteração, com paginação.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Modelo de autenticação (OAuth 2.0, API key, usuário técnico ou outro) e como as credenciais são emitidas.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URL base de homologação e de produção, e se há necessidade de VPN ou liberação de IP.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Ambiente de homologação com massa de teste e credenciais, para desenvolvermos sem tocar em ambiente produtivo.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Limites de uso: chamadas por minuto ou por dia, e janelas de manutenção.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Modelo comercial e prazo estimado da integração, e o que precisa ser formalizado do ponto de vista contratual e de LGPD.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0B6E4F"/>
          <w:sz w:val="25"/>
          <w:szCs w:val="25"/>
        </w:rPr>
        <w:t xml:space="preserve">6. Segurança e proteção de dados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Todo o tráfego em HTTPS/TLS 1.2 ou superior.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Credenciais armazenadas em cofre de segredos, nunca no código-fonte.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Acesso restrito ao mínimo necessário: somente leitura, e apenas dos campos listados neste documento.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O Bloco A não envolve dado pessoal. No Bloco B, buscamos a alternativa que dispensa CPF; caso seja necessário usá-lo como chave de busca, ele não é armazenado pelo CRM além do vínculo já existente no atendimento.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Nenhum laudo ou resultado clínico é acessado ou armazenado.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Registro de auditoria das consultas realizadas, com usuário, data e finalidade.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Disponibilidade para assinar termo de confidencialidade e acordo de tratamento de dados nos termos da LGPD.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0B6E4F"/>
          <w:sz w:val="25"/>
          <w:szCs w:val="25"/>
        </w:rPr>
        <w:t xml:space="preserve">7. Próximos passos sugeridos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Reunião técnica de 30 minutos para alinhar viabilidade e escopo dos dois blocos.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Envio da especificação técnica e, se aplicável, da proposta comercial.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Liberação do ambiente de homologação e das credenciais.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Desenvolvimento e testes por nossa equipe.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Homologação conjunta e entrada em produção.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Contato técnico: [PREENCHER: nome, e-mail e telefone]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Solicitação de Integração — Fase 1</dc:title>
  <dc:creator>Un-named</dc:creator>
  <cp:lastModifiedBy>Un-named</cp:lastModifiedBy>
  <cp:revision>1</cp:revision>
  <dcterms:created xsi:type="dcterms:W3CDTF">2026-08-24T19:19:11.324Z</dcterms:created>
  <dcterms:modified xsi:type="dcterms:W3CDTF">2026-08-24T19:19:11.324Z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