
<file path=[Content_Types].xml><?xml version="1.0" encoding="utf-8"?>
<Types xmlns="http://schemas.openxmlformats.org/package/2006/content-types">
  <Default Extension="fntdata" ContentType="application/x-fontdata"/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Heading1"/>
        <w:spacing w:before="0" w:after="100"/>
        <w:rPr/>
      </w:pPr>
      <w:r>
        <w:rPr/>
        <w:t>CRM SaaS MULTITENENTE PARA LABORATÓRIOS</w:t>
      </w:r>
    </w:p>
    <w:p>
      <w:pPr>
        <w:pStyle w:val="Heading2"/>
        <w:spacing w:before="0" w:after="300"/>
        <w:rPr/>
      </w:pPr>
      <w:r>
        <w:rPr/>
        <w:t>Para Laboratórios de Análises Clínicas</w:t>
      </w:r>
    </w:p>
    <w:p>
      <w:pPr>
        <w:pStyle w:val="Heading1"/>
        <w:spacing w:before="0" w:after="200"/>
        <w:rPr/>
      </w:pPr>
      <w:r>
        <w:rPr/>
        <w:t>VISÃO GERAL</w:t>
      </w:r>
    </w:p>
    <w:p>
      <w:pPr>
        <w:pStyle w:val="Normal"/>
        <w:spacing w:before="0" w:after="200"/>
        <w:rPr/>
      </w:pPr>
      <w:r>
        <w:rPr/>
        <w:t>Plataforma integrada para gestão de orçamentos, atendimentos e relacionamento com pacientes em laboratórios de análises clínicas independentes. O sistema centraliza a comunicação via WhatsApp, fornece visibilidade em tempo real das filas de atendimento, oferece geração inteligente de orçamentos com OCR/IA, e possibilita rastreamento completo do funil de vendas.</w:t>
      </w:r>
    </w:p>
    <w:p>
      <w:pPr>
        <w:pStyle w:val="Heading1"/>
        <w:spacing w:before="0" w:after="200"/>
        <w:rPr/>
      </w:pPr>
      <w:r>
        <w:rPr/>
        <w:t>O PROBLEMA</w:t>
      </w:r>
    </w:p>
    <w:p>
      <w:pPr>
        <w:pStyle w:val="Normal"/>
        <w:spacing w:before="0" w:after="100"/>
        <w:rPr/>
      </w:pPr>
      <w:r>
        <w:rPr/>
        <w:t>Laboratórios pequenos e médios enfrentam desafios críticos no atendimento de pacientes particulares:</w:t>
      </w:r>
    </w:p>
    <w:p>
      <w:pPr>
        <w:pStyle w:val="Normal"/>
        <w:spacing w:before="0" w:after="200"/>
        <w:rPr/>
      </w:pPr>
      <w:r>
        <w:rPr/>
        <w:t xml:space="preserve">• </w:t>
      </w:r>
      <w:r>
        <w:rPr/>
        <w:t>Falta de centralização: Orçamentos respondidos no WhatsApp pessoal, sem rastreamento • Inconsistência: Diferentes atendentes respondem preços diferentes para o mesmo exame • Perda de oportunidade: Orçamentos não respondidos ou esquecidos; sem follow-up • Sem visibilidade: Gestores não sabem taxa de conversão de orçamentos • Sem histórico: Quando paciente retorna, não há registro de orçamentos anteriores</w:t>
      </w:r>
    </w:p>
    <w:p>
      <w:pPr>
        <w:pStyle w:val="Heading1"/>
        <w:spacing w:before="0" w:after="200"/>
        <w:rPr/>
      </w:pPr>
      <w:r>
        <w:rPr/>
        <w:t>A SOLUÇÃO</w:t>
      </w:r>
    </w:p>
    <w:p>
      <w:pPr>
        <w:pStyle w:val="Normal"/>
        <w:spacing w:before="0" w:after="100"/>
        <w:rPr/>
      </w:pPr>
      <w:r>
        <w:rPr/>
        <w:t>Um CRM centralizado, multitenente e integrado que:</w:t>
      </w:r>
    </w:p>
    <w:p>
      <w:pPr>
        <w:pStyle w:val="Normal"/>
        <w:spacing w:before="0" w:after="200"/>
        <w:rPr/>
      </w:pPr>
      <w:r>
        <w:rPr/>
        <w:t xml:space="preserve">• </w:t>
      </w:r>
      <w:r>
        <w:rPr/>
        <w:t>Centraliza conversas: Todas as mensagens do WhatsApp chegam em uma caixa de entrada única • Padroniza orçamentos: Tabela de preços centralizada com regras de desconto predefinidas • Agiliza respostas: Geração de orçamento em 2-3 cliques, com validação antes do envio • Rastreia tudo: Cada orçamento tem status (novo, em atendimento, enviado, ganho, perdido) • Integra com o LIS: Fecha o ciclo quando paciente chega e requisição é criada • Oferece visibilidade: Dashboards para gestores verem taxa de conversão e performance</w:t>
      </w:r>
    </w:p>
    <w:p>
      <w:pPr>
        <w:pStyle w:val="Heading1"/>
        <w:spacing w:before="0" w:after="200"/>
        <w:rPr/>
      </w:pPr>
      <w:r>
        <w:rPr/>
        <w:t>FUNCIONALIDADES PRINCIPAIS</w:t>
      </w:r>
    </w:p>
    <w:p>
      <w:pPr>
        <w:pStyle w:val="Heading2"/>
        <w:spacing w:before="0" w:after="200"/>
        <w:rPr/>
      </w:pPr>
      <w:r>
        <w:rPr/>
        <w:t>Módulo de Atendimento</w:t>
      </w:r>
    </w:p>
    <w:p>
      <w:pPr>
        <w:pStyle w:val="Normal"/>
        <w:spacing w:before="0" w:after="200"/>
        <w:rPr/>
      </w:pPr>
      <w:r>
        <w:rPr/>
        <w:t xml:space="preserve">• </w:t>
      </w:r>
      <w:r>
        <w:rPr/>
        <w:t>Caixa de entrada centralizada do WhatsApp com múltiplos números por tenant • Fila visual com estado: não atribuído, em atendimento, aguardando resposta do paciente • Atribuição de conversa para atendente específica • Login individual para cada atendente com permissões por setor • Chat interno entre setores (recepção, coleta, analítico) com notificações e badge de mensagens não lidas</w:t>
      </w:r>
    </w:p>
    <w:p>
      <w:pPr>
        <w:pStyle w:val="Heading2"/>
        <w:spacing w:before="0" w:after="200"/>
        <w:rPr/>
      </w:pPr>
      <w:r>
        <w:rPr/>
        <w:t>Módulo de Orçamento</w:t>
      </w:r>
    </w:p>
    <w:p>
      <w:pPr>
        <w:pStyle w:val="Normal"/>
        <w:spacing w:before="0" w:after="200"/>
        <w:rPr/>
      </w:pPr>
      <w:r>
        <w:rPr/>
        <w:t xml:space="preserve">• </w:t>
      </w:r>
      <w:r>
        <w:rPr/>
        <w:t>Catálogo de exames: importação via planilha ou API do LIS • Tabela de preços centralizada com políticas de desconto por perfil • Geração rápida: 2-3 cliques para montar orçamento completo • OCR + IA: Atendente fotografa requisição do médico, sistema identifica exames automaticamente • Validação com Human-in-the-Loop: Antes de enviar, atendente confirma o que será enviado • Rastreamento: Cada orçamento registra data/hora, quem fez, quando foi enviado</w:t>
      </w:r>
    </w:p>
    <w:p>
      <w:pPr>
        <w:pStyle w:val="Heading2"/>
        <w:spacing w:before="0" w:after="200"/>
        <w:rPr/>
      </w:pPr>
      <w:r>
        <w:rPr/>
        <w:t>Módulo de Gestão</w:t>
      </w:r>
    </w:p>
    <w:p>
      <w:pPr>
        <w:pStyle w:val="Normal"/>
        <w:spacing w:before="0" w:after="200"/>
        <w:rPr/>
      </w:pPr>
      <w:r>
        <w:rPr/>
        <w:t xml:space="preserve">• </w:t>
      </w:r>
      <w:r>
        <w:rPr/>
        <w:t>Funil de vendas: Novo → Em atendimento → Orçamento enviado → Ganho/Perdido/Negociação • Métricas em tempo real: Taxa de conversão, ticket médio, tempo médio de resposta • Ranking de atendentes: Quantos orçamentos cada uma gerou/converteu • Alertas de SLA: Destacar orçamentos sem resposta há 30+ minutos • Relatórios exportáveis: Visão executiva para compartilhar com direção do laboratório</w:t>
      </w:r>
    </w:p>
    <w:p>
      <w:pPr>
        <w:pStyle w:val="Heading2"/>
        <w:spacing w:before="0" w:after="200"/>
        <w:rPr/>
      </w:pPr>
      <w:r>
        <w:rPr/>
        <w:t>Módulo de Integração</w:t>
      </w:r>
    </w:p>
    <w:p>
      <w:pPr>
        <w:pStyle w:val="Normal"/>
        <w:spacing w:before="0" w:after="200"/>
        <w:rPr/>
      </w:pPr>
      <w:r>
        <w:rPr/>
        <w:t xml:space="preserve">• </w:t>
      </w:r>
      <w:r>
        <w:rPr/>
        <w:t>Gateway de integrações: Cada tenant configura suas conexões (chave + endpoint) • Conectores pré-built: Autolac, Concent, LabSolution, LABSYS, WorkLab (e mais via API genérica) • Fechar ciclo: Quando requisição é criada no LIS, CRM marca orçamento como "convertido" • Webhook bidirecional: LIS comunica novo exame → CRM atualiza histórico do paciente • WhatsApp API: Suporte a API não-oficial para MVP, migração para Cloud API oficial da Meta conforme crescimento</w:t>
      </w:r>
    </w:p>
    <w:p>
      <w:pPr>
        <w:pStyle w:val="Heading1"/>
        <w:spacing w:before="0" w:after="200"/>
        <w:rPr/>
      </w:pPr>
      <w:r>
        <w:rPr/>
        <w:t>FLUXO DE PROCESSO PRINCIPAL</w:t>
      </w:r>
    </w:p>
    <w:p>
      <w:pPr>
        <w:pStyle w:val="Normal"/>
        <w:spacing w:before="0" w:after="200"/>
        <w:rPr/>
      </w:pPr>
      <w:r>
        <w:rPr/>
        <w:t>1. Paciente contacta: Envia foto do pedido ou pergunta de viva voz no WhatsApp 2. Atendente recebe: Mensagem cai na fila do CRM, visível para toda a equipe 3. Atribuição: Atendente clica em "pegar" ou gerente atribui para alguém específico 4. Leitura (se foto): IA escaneia requisição, sugere exames do catálogo do laboratório 5. Orçamento: Atendente monta orçamento (2-3 cliques), valida e confirma envio 6. Envio: CRM envia via WhatsApp, registra timestamp e status "enviado" 7. Acompanhamento: Orçamento abre em negociação; atendente aguarda resposta (SLA monitorado) 8. Conversão: Paciente confirma → atendente marca como "ganho" ou integração detecção automática 9. Coleta: Paciente chega, requisição criada no LIS, CRM fecha ciclo automaticamente</w:t>
      </w:r>
    </w:p>
    <w:p>
      <w:pPr>
        <w:pStyle w:val="Heading1"/>
        <w:spacing w:before="0" w:after="200"/>
        <w:rPr/>
      </w:pPr>
      <w:r>
        <w:rPr/>
        <w:t>ARQUITETURA TÉCNICA</w:t>
      </w:r>
    </w:p>
    <w:p>
      <w:pPr>
        <w:pStyle w:val="Heading2"/>
        <w:spacing w:before="0" w:after="200"/>
        <w:rPr/>
      </w:pPr>
      <w:r>
        <w:rPr/>
        <w:t>Stack Sugerida</w:t>
      </w:r>
    </w:p>
    <w:p>
      <w:pPr>
        <w:pStyle w:val="Normal"/>
        <w:spacing w:before="0" w:after="200"/>
        <w:rPr/>
      </w:pPr>
      <w:r>
        <w:rPr/>
        <w:t xml:space="preserve">• </w:t>
      </w:r>
      <w:r>
        <w:rPr/>
        <w:t>Backend: Node.js + NestJS (estrutura robusta para multitenancy) • Banco: PostgreSQL (JSONB para flexibilidade de configurações por tenant) • Cache/Fila: Redis (para filas em tempo real, sessões, notificações) • Frontend: React + TypeScript (UI responsiva, mobile-first) • Autenticação: JWT com refresh tokens • IA/OCR: OpenAI Vision API ou Google Cloud Vision (para leitura de requisições) • WhatsApp: Twilio ou Baileys (API não-oficial para MVP) → Meta Cloud API (production) • Integração: MCP (Model Context Protocol) para conectores plugáveis • Logging/Auditoria: Elasticsearch + Kibana (trilha de auditoria LGPD) • Deploy: Docker + Kubernetes (escalabilidade horizontal)</w:t>
      </w:r>
    </w:p>
    <w:p>
      <w:pPr>
        <w:pStyle w:val="Heading2"/>
        <w:spacing w:before="0" w:after="200"/>
        <w:rPr/>
      </w:pPr>
      <w:r>
        <w:rPr/>
        <w:t>Isolamento Multitenante</w:t>
      </w:r>
    </w:p>
    <w:p>
      <w:pPr>
        <w:pStyle w:val="Normal"/>
        <w:spacing w:before="0" w:after="200"/>
        <w:rPr/>
      </w:pPr>
      <w:r>
        <w:rPr/>
        <w:t xml:space="preserve">• </w:t>
      </w:r>
      <w:r>
        <w:rPr/>
        <w:t>Tenant ID em toda query (row-level security via PostgreSQL RLS) • Chaves de API isoladas por tenant para conectores • Dados de paciente criptografados em repouso (AES-256) • Logs de auditoria separados por tenant • Webhook de integração com isolamento por tenant</w:t>
      </w:r>
    </w:p>
    <w:p>
      <w:pPr>
        <w:pStyle w:val="Heading1"/>
        <w:spacing w:before="0" w:after="200"/>
        <w:rPr/>
      </w:pPr>
      <w:r>
        <w:rPr/>
        <w:t>CONFORMIDADE E SEGURANÇA</w:t>
      </w:r>
    </w:p>
    <w:p>
      <w:pPr>
        <w:pStyle w:val="Heading2"/>
        <w:spacing w:before="0" w:after="200"/>
        <w:rPr/>
      </w:pPr>
      <w:r>
        <w:rPr/>
        <w:t>LGPD (Lei Geral de Proteção de Dados)</w:t>
      </w:r>
    </w:p>
    <w:p>
      <w:pPr>
        <w:pStyle w:val="Normal"/>
        <w:spacing w:before="0" w:after="200"/>
        <w:rPr/>
      </w:pPr>
      <w:r>
        <w:rPr/>
        <w:t xml:space="preserve">• </w:t>
      </w:r>
      <w:r>
        <w:rPr/>
        <w:t>Consentimento: Formulário de consentimento para armazenar dados de paciente (com checkbox) • Direito ao esquecimento: Funcionalidade de anonimizar/deletar dados de paciente • Portabilidade: Export de dados em formato aberto (JSON/CSV) • Trilha de auditoria: Log completo de acesso e modificação (quem, quando, o quê) • Criptografia: Dados sensíveis (CPF, telefone) criptografados • Retenção: Política clara de quanto tempo dados são mantidos</w:t>
      </w:r>
    </w:p>
    <w:p>
      <w:pPr>
        <w:pStyle w:val="Heading2"/>
        <w:spacing w:before="0" w:after="200"/>
        <w:rPr/>
      </w:pPr>
      <w:r>
        <w:rPr/>
        <w:t>RDC 978/2025 (ANVISA)</w:t>
      </w:r>
    </w:p>
    <w:p>
      <w:pPr>
        <w:pStyle w:val="Normal"/>
        <w:spacing w:before="0" w:after="200"/>
        <w:rPr/>
      </w:pPr>
      <w:r>
        <w:rPr/>
        <w:t xml:space="preserve">• </w:t>
      </w:r>
      <w:r>
        <w:rPr/>
        <w:t>Rastreabilidade: Cada exame vinculado a paciente, requisição e resultado • Segurança: Autenticação, autorização, criptografia conforme norma • Backup: Redundância de dados, plano de recuperação de desastres</w:t>
      </w:r>
    </w:p>
    <w:p>
      <w:pPr>
        <w:pStyle w:val="Heading1"/>
        <w:spacing w:before="0" w:after="200"/>
        <w:rPr/>
      </w:pPr>
      <w:r>
        <w:rPr/>
        <w:t>INTEGRAÇÕES PRINCIPAIS</w:t>
      </w:r>
    </w:p>
    <w:p>
      <w:pPr>
        <w:pStyle w:val="Heading2"/>
        <w:spacing w:before="0" w:after="200"/>
        <w:rPr/>
      </w:pPr>
      <w:r>
        <w:rPr/>
        <w:t>LIS (Laboratory Information Systems)</w:t>
      </w:r>
    </w:p>
    <w:p>
      <w:pPr>
        <w:pStyle w:val="Normal"/>
        <w:spacing w:before="0" w:after="200"/>
        <w:rPr/>
      </w:pPr>
      <w:r>
        <w:rPr/>
        <w:t xml:space="preserve">Sistemas principais mapeados para Brasil: • Autolac (1.600+ laboratórios, RDC 978/2025 conforme) • Concent • LabSolution • LABSYS Web • WorkLab • Unilab • </w:t>
      </w:r>
      <w:r>
        <w:rPr/>
        <w:t xml:space="preserve">Matrix , Shift, BitLab e </w:t>
      </w:r>
      <w:r>
        <w:rPr/>
        <w:t>Outros: Via API genérica ou arquivo HL7/CSV</w:t>
      </w:r>
    </w:p>
    <w:p>
      <w:pPr>
        <w:pStyle w:val="Heading3"/>
        <w:spacing w:before="0" w:after="200"/>
        <w:rPr/>
      </w:pPr>
      <w:r>
        <w:rPr/>
        <w:t>Fluxo de Integração LIS</w:t>
      </w:r>
    </w:p>
    <w:p>
      <w:pPr>
        <w:pStyle w:val="Normal"/>
        <w:spacing w:before="0" w:after="200"/>
        <w:rPr/>
      </w:pPr>
      <w:r>
        <w:rPr/>
        <w:t xml:space="preserve">• </w:t>
      </w:r>
      <w:r>
        <w:rPr/>
        <w:t>Sincronização de catálogo: Cada noite (ou sob demanda) puxa lista de exames atualizada • Webhook de requisição: Quando paciente faz coleta, LIS notifica CRM • Rastreamento: Orçamento (CRM) → Requisição (LIS) → Resultado (LIS) retorna ao CRM</w:t>
      </w:r>
    </w:p>
    <w:p>
      <w:pPr>
        <w:pStyle w:val="Heading2"/>
        <w:spacing w:before="0" w:after="200"/>
        <w:rPr/>
      </w:pPr>
      <w:r>
        <w:rPr/>
        <w:t>WhatsApp</w:t>
      </w:r>
    </w:p>
    <w:p>
      <w:pPr>
        <w:pStyle w:val="Normal"/>
        <w:spacing w:before="0" w:after="200"/>
        <w:rPr/>
      </w:pPr>
      <w:r>
        <w:rPr/>
        <w:t xml:space="preserve">• </w:t>
      </w:r>
      <w:r>
        <w:rPr/>
        <w:t>MVP: Twilio (suportado) ou Baileys (API não-oficial, risco de banimento) • Production: Meta Cloud API (custo por conversa, mais confiável) • Suporte a múltiplos números por tenant • Webhook: Toda mensagem recebida cai na fila do CRM • Custo variável: Repassar para cliente ou incluir na margem da assinatura</w:t>
      </w:r>
    </w:p>
    <w:p>
      <w:pPr>
        <w:pStyle w:val="Heading1"/>
        <w:spacing w:before="0" w:after="200"/>
        <w:rPr/>
      </w:pPr>
      <w:r>
        <w:rPr/>
        <w:t>PRÓXIMOS PASSOS</w:t>
      </w:r>
    </w:p>
    <w:p>
      <w:pPr>
        <w:pStyle w:val="Normal"/>
        <w:spacing w:before="0" w:after="200"/>
        <w:rPr/>
      </w:pPr>
      <w:r>
        <w:rPr/>
        <w:t>1. Validação com 2-3 laboratórios piloto (feedback de UX/workflow) 2. Desenho detalhado do banco de dados (schema multitenante) 3. Prototipagem de telas críticas (fila, orçamento, funil) 4. Seleção de tech stack e setup inicial do projeto 5. Integração com primeiro LIS (provavelmente Autolac) 6. Conformidade LGPD: Documento de política de privacidade e consentimento</w:t>
      </w:r>
    </w:p>
    <w:p>
      <w:pPr>
        <w:pStyle w:val="Heading1"/>
        <w:spacing w:before="0" w:after="200"/>
        <w:rPr/>
      </w:pPr>
      <w:r>
        <w:rPr/>
        <w:t>MODELO DE NEGÓCIO (A DEFINIR)</w:t>
      </w:r>
    </w:p>
    <w:p>
      <w:pPr>
        <w:pStyle w:val="Normal"/>
        <w:spacing w:before="0" w:after="100"/>
        <w:rPr/>
      </w:pPr>
      <w:r>
        <w:rPr/>
        <w:t>Opções em discussão: • Assinatura base: Valor mensal para até 2 atendentes • Por atendente adicional: +X% do valor base • API de WhatsApp: Repassar custo da Meta (ou margem) ou incluir no valor • Setup/onboarding: Taxa única de configuração  Definir faixas de preço e piloto com laboratórios reais antes de lançamento</w:t>
      </w:r>
    </w:p>
    <w:sectPr>
      <w:type w:val="nextPage"/>
      <w:pgSz w:w="11906" w:h="16838"/>
      <w:pgMar w:left="1440" w:right="1440" w:gutter="0" w:header="0" w:top="1440" w:footer="0" w:bottom="1440"/>
      <w:pgNumType w:fmt="decimal"/>
      <w:formProt w:val="false"/>
      <w:textDirection w:val="lrTb"/>
      <w:docGrid w:type="default" w:linePitch="360" w:charSpace="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 w:characterSet="windows-1252"/>
    <w:family w:val="roman"/>
    <w:pitch w:val="variable"/>
  </w:font>
  <w:font w:name="Symbol">
    <w:charset w:val="02"/>
    <w:family w:val="roman"/>
    <w:pitch w:val="variable"/>
  </w:font>
  <w:font w:name="Arial">
    <w:charset w:val="00" w:characterSet="windows-1252"/>
    <w:family w:val="swiss"/>
    <w:pitch w:val="variable"/>
  </w:font>
  <w:font w:name="Liberation Serif">
    <w:altName w:val="Times New Roman"/>
    <w:charset w:val="00" w:characterSet="windows-1252"/>
    <w:family w:val="roman"/>
    <w:pitch w:val="variable"/>
  </w:font>
  <w:font w:name="Liberation Sans">
    <w:altName w:val="Arial"/>
    <w:charset w:val="00" w:characterSet="windows-1252"/>
    <w:family w:val="swiss"/>
    <w:pitch w:val="variable"/>
  </w:font>
</w:fonts>
</file>

<file path=word/settings.xml><?xml version="1.0" encoding="utf-8"?>
<w:settings xmlns:w="http://schemas.openxmlformats.org/wordprocessingml/2006/main">
  <w:zoom w:percent="160"/>
  <w:defaultTabStop w:val="720"/>
  <w:autoHyphenation w:val="true"/>
  <w:hyphenationZone w:val="0"/>
  <w:compat>
    <w:compatSetting w:name="compatibilityMode" w:uri="http://schemas.microsoft.com/office/word" w:val="15"/>
  </w:compat>
  <w:themeFontLang w:val="" w:eastAsia="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Times New Roman" w:hAnsi="Times New Roman" w:eastAsia="NSimSun" w:cs="Arial"/>
        <w:lang w:val="pt-BR" w:eastAsia="zh-CN" w:bidi="hi-IN"/>
      </w:rPr>
    </w:rPrDefault>
    <w:pPrDefault>
      <w:pPr>
        <w:suppressAutoHyphens w:val="true"/>
      </w:pPr>
    </w:pPrDefault>
  </w:docDefaults>
  <w:style w:type="paragraph" w:styleId="Normal">
    <w:name w:val="Normal"/>
    <w:qFormat/>
    <w:pPr>
      <w:widowControl/>
      <w:bidi w:val="0"/>
      <w:spacing w:before="0" w:after="0"/>
      <w:jc w:val="start"/>
    </w:pPr>
    <w:rPr>
      <w:rFonts w:ascii="Times New Roman" w:hAnsi="Times New Roman" w:eastAsia="NSimSun" w:cs="Arial"/>
      <w:color w:val="auto"/>
      <w:kern w:val="0"/>
      <w:sz w:val="20"/>
      <w:szCs w:val="20"/>
      <w:lang w:val="pt-BR" w:eastAsia="zh-CN" w:bidi="hi-IN"/>
    </w:rPr>
  </w:style>
  <w:style w:type="paragraph" w:styleId="Heading1">
    <w:name w:val="heading 1"/>
    <w:basedOn w:val="Ttulo"/>
    <w:qFormat/>
    <w:pPr/>
    <w:rPr>
      <w:color w:val="2E74B5"/>
      <w:sz w:val="32"/>
      <w:szCs w:val="32"/>
    </w:rPr>
  </w:style>
  <w:style w:type="paragraph" w:styleId="Heading2">
    <w:name w:val="heading 2"/>
    <w:basedOn w:val="Ttulo"/>
    <w:qFormat/>
    <w:pPr/>
    <w:rPr>
      <w:color w:val="2E74B5"/>
      <w:sz w:val="26"/>
      <w:szCs w:val="26"/>
    </w:rPr>
  </w:style>
  <w:style w:type="paragraph" w:styleId="Heading3">
    <w:name w:val="heading 3"/>
    <w:basedOn w:val="Ttulo"/>
    <w:qFormat/>
    <w:pPr/>
    <w:rPr>
      <w:color w:val="1F4D78"/>
      <w:sz w:val="24"/>
      <w:szCs w:val="24"/>
    </w:rPr>
  </w:style>
  <w:style w:type="paragraph" w:styleId="Heading4">
    <w:name w:val="heading 4"/>
    <w:basedOn w:val="Ttulo"/>
    <w:qFormat/>
    <w:pPr/>
    <w:rPr>
      <w:i/>
      <w:iCs/>
      <w:color w:val="2E74B5"/>
    </w:rPr>
  </w:style>
  <w:style w:type="paragraph" w:styleId="Heading5">
    <w:name w:val="heading 5"/>
    <w:basedOn w:val="Ttulo"/>
    <w:qFormat/>
    <w:pPr/>
    <w:rPr>
      <w:color w:val="2E74B5"/>
    </w:rPr>
  </w:style>
  <w:style w:type="paragraph" w:styleId="Heading6">
    <w:name w:val="heading 6"/>
    <w:basedOn w:val="Ttulo"/>
    <w:qFormat/>
    <w:pPr/>
    <w:rPr>
      <w:color w:val="1F4D78"/>
    </w:rPr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Caracteresdenotaderodap">
    <w:name w:val="Caracteres de nota de rodapé"/>
    <w:uiPriority w:val="99"/>
    <w:semiHidden/>
    <w:unhideWhenUsed/>
    <w:qFormat/>
    <w:rPr>
      <w:vertAlign w:val="superscript"/>
    </w:rPr>
  </w:style>
  <w:style w:type="character" w:styleId="FootnoteReference">
    <w:name w:val="footnote reference"/>
    <w:rPr>
      <w:vertAlign w:val="superscript"/>
    </w:rPr>
  </w:style>
  <w:style w:type="character" w:styleId="FootnoteTextChar">
    <w:name w:val="Footnote Text Char"/>
    <w:uiPriority w:val="99"/>
    <w:semiHidden/>
    <w:unhideWhenUsed/>
    <w:qFormat/>
    <w:rPr>
      <w:sz w:val="20"/>
      <w:szCs w:val="20"/>
    </w:rPr>
  </w:style>
  <w:style w:type="character" w:styleId="Caracteresdenotadefim">
    <w:name w:val="Caracteres de nota de fim"/>
    <w:uiPriority w:val="99"/>
    <w:semiHidden/>
    <w:unhideWhenUsed/>
    <w:qFormat/>
    <w:rPr>
      <w:vertAlign w:val="superscript"/>
    </w:rPr>
  </w:style>
  <w:style w:type="character" w:styleId="EndnoteReference">
    <w:name w:val="endnote reference"/>
    <w:rPr>
      <w:vertAlign w:val="superscript"/>
    </w:rPr>
  </w:style>
  <w:style w:type="character" w:styleId="EndnoteTextChar">
    <w:name w:val="Endnote Text Char"/>
    <w:uiPriority w:val="99"/>
    <w:semiHidden/>
    <w:unhideWhenUsed/>
    <w:qFormat/>
    <w:rPr>
      <w:sz w:val="20"/>
      <w:szCs w:val="20"/>
    </w:rPr>
  </w:style>
  <w:style w:type="paragraph" w:styleId="Ttulo">
    <w:name w:val="Título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Microsoft YaHei" w:cs="Arial"/>
      <w:sz w:val="28"/>
      <w:szCs w:val="28"/>
    </w:rPr>
  </w:style>
  <w:style w:type="paragraph" w:styleId="BodyText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BodyText"/>
    <w:pPr/>
    <w:rPr>
      <w:rFonts w:cs="Arial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Arial"/>
      <w:i/>
      <w:iCs/>
      <w:sz w:val="24"/>
      <w:szCs w:val="24"/>
    </w:rPr>
  </w:style>
  <w:style w:type="paragraph" w:styleId="ndice">
    <w:name w:val="Índice"/>
    <w:basedOn w:val="Normal"/>
    <w:qFormat/>
    <w:pPr>
      <w:suppressLineNumbers/>
    </w:pPr>
    <w:rPr>
      <w:rFonts w:cs="Arial"/>
    </w:rPr>
  </w:style>
  <w:style w:type="paragraph" w:styleId="Title">
    <w:name w:val="Title"/>
    <w:basedOn w:val="Ttulo"/>
    <w:qFormat/>
    <w:pPr/>
    <w:rPr>
      <w:sz w:val="56"/>
      <w:szCs w:val="56"/>
    </w:rPr>
  </w:style>
  <w:style w:type="paragraph" w:styleId="StrongEmphasis">
    <w:name w:val="Strong Emphasis"/>
    <w:qFormat/>
    <w:pPr>
      <w:widowControl/>
      <w:bidi w:val="0"/>
      <w:spacing w:before="0" w:after="0"/>
      <w:jc w:val="start"/>
    </w:pPr>
    <w:rPr>
      <w:rFonts w:ascii="Times New Roman" w:hAnsi="Times New Roman" w:eastAsia="NSimSun" w:cs="Arial"/>
      <w:b/>
      <w:bCs/>
      <w:color w:val="auto"/>
      <w:kern w:val="0"/>
      <w:sz w:val="20"/>
      <w:szCs w:val="20"/>
      <w:lang w:val="pt-BR" w:eastAsia="zh-CN" w:bidi="hi-IN"/>
    </w:rPr>
  </w:style>
  <w:style w:type="paragraph" w:styleId="ListParagraph">
    <w:name w:val="List Paragraph"/>
    <w:qFormat/>
    <w:pPr>
      <w:widowControl/>
      <w:bidi w:val="0"/>
      <w:spacing w:before="0" w:after="0"/>
      <w:jc w:val="start"/>
    </w:pPr>
    <w:rPr>
      <w:rFonts w:ascii="Times New Roman" w:hAnsi="Times New Roman" w:eastAsia="NSimSun" w:cs="Arial"/>
      <w:color w:val="auto"/>
      <w:kern w:val="0"/>
      <w:sz w:val="20"/>
      <w:szCs w:val="20"/>
      <w:lang w:val="pt-BR" w:eastAsia="zh-CN" w:bidi="hi-IN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lineRule="auto" w:line="240" w:before="0" w:after="0"/>
    </w:pPr>
    <w:rPr>
      <w:sz w:val="20"/>
      <w:szCs w:val="20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lineRule="auto" w:line="240" w:before="0" w:after="0"/>
    </w:pPr>
    <w:rPr>
      <w:sz w:val="20"/>
      <w:szCs w:val="20"/>
    </w:r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fontTable" Target="fontTable.xml"/><Relationship Id="rId3" Type="http://schemas.openxmlformats.org/officeDocument/2006/relationships/settings" Target="settings.xml"/><Relationship Id="rId4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xmlns:r="http://schemas.openxmlformats.org/officeDocument/2006/relationships" name="Office">
  <a:themeElements>
    <a:clrScheme name="LibreOffice">
      <a:dk1>
        <a:srgbClr val="000000"/>
      </a:dk1>
      <a:lt1>
        <a:srgbClr val="FFFFFF"/>
      </a:lt1>
      <a:dk2>
        <a:srgbClr val="000000"/>
      </a:dk2>
      <a:lt2>
        <a:srgbClr val="FFFFFF"/>
      </a:lt2>
      <a:accent1>
        <a:srgbClr val="18A303"/>
      </a:accent1>
      <a:accent2>
        <a:srgbClr val="0369A3"/>
      </a:accent2>
      <a:accent3>
        <a:srgbClr val="A33E03"/>
      </a:accent3>
      <a:accent4>
        <a:srgbClr val="8E03A3"/>
      </a:accent4>
      <a:accent5>
        <a:srgbClr val="C99C00"/>
      </a:accent5>
      <a:accent6>
        <a:srgbClr val="C9211E"/>
      </a:accent6>
      <a:hlink>
        <a:srgbClr val="0000EE"/>
      </a:hlink>
      <a:folHlink>
        <a:srgbClr val="551A8B"/>
      </a:folHlink>
    </a:clrScheme>
    <a:fontScheme name="Office">
      <a:majorFont>
        <a:latin typeface="Arial" pitchFamily="0" charset="1"/>
        <a:ea typeface="DejaVu Sans" pitchFamily="0" charset="1"/>
        <a:cs typeface="DejaVu Sans" pitchFamily="0" charset="1"/>
      </a:majorFont>
      <a:minorFont>
        <a:latin typeface="Arial" pitchFamily="0" charset="1"/>
        <a:ea typeface="DejaVu Sans" pitchFamily="0" charset="1"/>
        <a:cs typeface="DejaVu Sans" pitchFamily="0" charset="1"/>
      </a:minorFont>
    </a:fontScheme>
    <a:fmtScheme>
      <a:fillStyleLst>
        <a:solidFill>
          <a:schemeClr val="phClr"/>
        </a:solidFill>
        <a:solidFill>
          <a:schemeClr val="phClr"/>
        </a:solidFill>
        <a:solidFill>
          <a:schemeClr val="phClr"/>
        </a:solidFill>
      </a:fillStyleLst>
      <a:lnStyleLst>
        <a:ln w="6350" cap="flat" cmpd="sng" algn="ctr">
          <a:prstDash val="solid"/>
          <a:miter/>
        </a:ln>
        <a:ln w="6350" cap="flat" cmpd="sng" algn="ctr">
          <a:prstDash val="solid"/>
          <a:miter/>
        </a:ln>
        <a:ln w="6350" cap="flat" cmpd="sng" algn="ctr">
          <a:prstDash val="solid"/>
          <a:miter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/>
        </a:solidFill>
        <a:solidFill>
          <a:schemeClr val="phClr"/>
        </a:soli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/>
  <TotalTime>1853</TotalTime>
  <Application>LibreOffice/26.2.5.2$Windows_X86_64 LibreOffice_project/cd7284b4cbbfeb507e630c1aac019f4157393acb</Application>
  <AppVersion>15.0000</AppVersion>
  <Pages>3</Pages>
  <Words>1096</Words>
  <Characters>6398</Characters>
  <CharactersWithSpaces>7453</CharactersWithSpaces>
  <Paragraphs>42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2026-08-21T14:36:53Z</dcterms:created>
  <dc:creator>Un-named</dc:creator>
  <dc:description/>
  <dc:language>pt-BR</dc:language>
  <cp:lastModifiedBy/>
  <dcterms:modified xsi:type="dcterms:W3CDTF">2026-08-23T16:09:20Z</dcterms:modified>
  <cp:revision>2</cp:revision>
  <dc:subject/>
  <dc:title/>
</cp:coreProperties>
</file>