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60"/>
        </w:rPr>
        <w:t>ChurnInsight — Deploy no OCI (Opção 1)</w:t>
      </w:r>
    </w:p>
    <w:p>
      <w:pPr>
        <w:jc w:val="center"/>
      </w:pPr>
      <w:r>
        <w:rPr>
          <w:color w:val="334155"/>
          <w:sz w:val="28"/>
        </w:rPr>
        <w:t>VM + Docker Compose + OCIR (UI estática no Spring Boot)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2E8F0"/>
          </w:tcPr>
          <w:p>
            <w:r>
              <w:rPr>
                <w:color w:val="0F172A"/>
                <w:sz w:val="22"/>
              </w:rPr>
              <w:t>Projeto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2"/>
              </w:rPr>
              <w:t>Hackathon NoCountry — ChurnInsight</w:t>
            </w:r>
          </w:p>
        </w:tc>
      </w:tr>
      <w:tr>
        <w:tc>
          <w:tcPr>
            <w:tcW w:type="dxa" w:w="4986"/>
            <w:shd w:val="clear" w:color="auto" w:fill="E2E8F0"/>
          </w:tcPr>
          <w:p>
            <w:r>
              <w:rPr>
                <w:color w:val="0F172A"/>
                <w:sz w:val="22"/>
              </w:rPr>
              <w:t>Arquitetura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2"/>
              </w:rPr>
              <w:t>Opção 1 — VM + Docker Compose + OCIR (UI estática no Spring Boot)</w:t>
            </w:r>
          </w:p>
        </w:tc>
      </w:tr>
      <w:tr>
        <w:tc>
          <w:tcPr>
            <w:tcW w:type="dxa" w:w="4986"/>
            <w:shd w:val="clear" w:color="auto" w:fill="E2E8F0"/>
          </w:tcPr>
          <w:p>
            <w:r>
              <w:rPr>
                <w:color w:val="0F172A"/>
                <w:sz w:val="22"/>
              </w:rPr>
              <w:t>Data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2"/>
              </w:rPr>
              <w:t>09/01/2026</w:t>
            </w:r>
          </w:p>
        </w:tc>
      </w:tr>
    </w:tbl>
    <w:p>
      <w:r>
        <w:br w:type="page"/>
      </w:r>
    </w:p>
    <w:p>
      <w:pPr>
        <w:pStyle w:val="Heading1"/>
      </w:pPr>
      <w:r>
        <w:t>Sumário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1. Visão executiva</w:t>
        <w:tab/>
        <w:t>3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2. Visão geral da arquitetura</w:t>
        <w:tab/>
        <w:t>3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Diagrama de arquitetura</w:t>
        <w:tab/>
        <w:t>3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3. Componentes e responsabilidades</w:t>
        <w:tab/>
        <w:t>4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3.1 Matriz de serviços</w:t>
        <w:tab/>
        <w:t>4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4. Fluxo de requisição e contratos entre serviços</w:t>
        <w:tab/>
        <w:t>4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4.1 Endpoints recomendados</w:t>
        <w:tab/>
        <w:t>4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5. Rede e segurança</w:t>
        <w:tab/>
        <w:t>4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5.1 Regras de entrada (Ingress) sugeridas — NSG/Security List</w:t>
        <w:tab/>
        <w:t>4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6. Pipeline de build e publicação (Dev -&gt; OCIR -&gt; VM)</w:t>
        <w:tab/>
        <w:t>5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6.1 Artefatos publicados no OCIR</w:t>
        <w:tab/>
        <w:t>5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6.2 Exemplo de docker-compose.prod.yml (produção)</w:t>
        <w:tab/>
        <w:t>5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7. Procedimento de implantação na VM (passo a passo)</w:t>
        <w:tab/>
        <w:t>6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7.1 Preparar o OCIR</w:t>
        <w:tab/>
        <w:t>6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7.2 Build e push das imagens (Dev)</w:t>
        <w:tab/>
        <w:t>6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7.3 Provisionar a VM no OCI</w:t>
        <w:tab/>
        <w:t>7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7.4 Instalar Docker + Compose na VM</w:t>
        <w:tab/>
        <w:t>7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7.5 Subir a stack em produção</w:t>
        <w:tab/>
        <w:t>7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7.6 Comandos de referência (build/push/deploy)</w:t>
        <w:tab/>
        <w:t>7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8. Operação, observabilidade e controle de custos</w:t>
        <w:tab/>
        <w:t>7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8.1 Checklist operacional</w:t>
        <w:tab/>
        <w:t>8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9. Limitações e próximos incrementos</w:t>
        <w:tab/>
        <w:t>8</w:t>
      </w:r>
    </w:p>
    <w:p>
      <w:pPr>
        <w:tabs>
          <w:tab w:pos="9648" w:val="right" w:leader="dot"/>
        </w:tabs>
        <w:ind w:left="0"/>
      </w:pPr>
      <w:r>
        <w:rPr>
          <w:sz w:val="22"/>
        </w:rPr>
        <w:t>Apêndice A — Variáveis de ambiente (referência)</w:t>
        <w:tab/>
        <w:t>8</w:t>
      </w:r>
    </w:p>
    <w:p>
      <w:pPr>
        <w:tabs>
          <w:tab w:pos="9648" w:val="right" w:leader="dot"/>
        </w:tabs>
        <w:ind w:left="397"/>
      </w:pPr>
      <w:r>
        <w:rPr>
          <w:sz w:val="21"/>
        </w:rPr>
        <w:t>A.1 Variáveis por serviço</w:t>
        <w:tab/>
        <w:t>8</w:t>
      </w:r>
    </w:p>
    <w:p>
      <w:pPr/>
    </w:p>
    <w:p>
      <w:r>
        <w:br w:type="page"/>
      </w:r>
    </w:p>
    <w:p>
      <w:pPr>
        <w:pStyle w:val="Heading1"/>
      </w:pPr>
      <w:r>
        <w:t>1. Visão executiva</w:t>
      </w:r>
    </w:p>
    <w:p>
      <w:r>
        <w:t>Este documento descreve uma arquitetura de implantação de baixo custo no Oracle Cloud Infrastructure (OCI) para o projeto ChurnInsight, utilizando uma única Compute Instance (VM) executando Docker Compose. As imagens de aplicação são armazenadas no Oracle Container Registry (OCIR). A interface do usuário é servida como UI estática a partir do Spring Boot (java-api).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BEAFE"/>
          </w:tcPr>
          <w:p>
            <w:r>
              <w:rPr>
                <w:b/>
                <w:color w:val="1E40AF"/>
              </w:rPr>
              <w:t>Objetivos desta opção (MVP / demo)</w:t>
            </w:r>
          </w:p>
        </w:tc>
      </w:tr>
      <w:tr>
        <w:tc>
          <w:tcPr>
            <w:tcW w:type="dxa" w:w="9972"/>
            <w:shd w:val="clear" w:color="auto" w:fill="EFF6FF"/>
          </w:tcPr>
          <w:p>
            <w:r>
              <w:rPr>
                <w:color w:val="0F172A"/>
              </w:rPr>
              <w:t>• Minimizar custo e complexidade operacional (uma única VM, sem OKE e sem Load Balancer).</w:t>
            </w:r>
          </w:p>
        </w:tc>
      </w:tr>
      <w:tr>
        <w:tc>
          <w:tcPr>
            <w:tcW w:type="dxa" w:w="9972"/>
            <w:shd w:val="clear" w:color="auto" w:fill="EFF6FF"/>
          </w:tcPr>
          <w:p>
            <w:r>
              <w:rPr>
                <w:color w:val="0F172A"/>
              </w:rPr>
              <w:t>• Isolar componentes internos (FastAPI e Postgres) sem exposição pública.</w:t>
            </w:r>
          </w:p>
        </w:tc>
      </w:tr>
      <w:tr>
        <w:tc>
          <w:tcPr>
            <w:tcW w:type="dxa" w:w="9972"/>
            <w:shd w:val="clear" w:color="auto" w:fill="EFF6FF"/>
          </w:tcPr>
          <w:p>
            <w:r>
              <w:rPr>
                <w:color w:val="0F172A"/>
              </w:rPr>
              <w:t>• Garantir um fluxo ponta a ponta: Browser -&gt; Spring Boot (UI + API) -&gt; FastAPI (inferência) -&gt; Postgres (persistência).</w:t>
            </w:r>
          </w:p>
        </w:tc>
      </w:tr>
      <w:tr>
        <w:tc>
          <w:tcPr>
            <w:tcW w:type="dxa" w:w="9972"/>
            <w:shd w:val="clear" w:color="auto" w:fill="EFF6FF"/>
          </w:tcPr>
          <w:p>
            <w:r>
              <w:rPr>
                <w:color w:val="0F172A"/>
              </w:rPr>
              <w:t>• Padronizar build e entrega via imagens no OCIR (docker push/pull).</w:t>
            </w:r>
          </w:p>
        </w:tc>
      </w:tr>
    </w:tbl>
    <w:p/>
    <w:p>
      <w:pPr>
        <w:pStyle w:val="Heading1"/>
      </w:pPr>
      <w:r>
        <w:t>2. Visão geral da arquitetura</w:t>
      </w:r>
    </w:p>
    <w:p>
      <w:r>
        <w:t>A arquitetura proposta organiza o deploy em três camadas: (i) estação de desenvolvimento para build e publicação das imagens, (ii) OCIR como repositório de imagens e (iii) OCI Compute (VM) executando a stack com Docker Compose em rede interna. O diagrama a seguir representa a disposição lógica e os limites de exposição pública.</w:t>
      </w:r>
    </w:p>
    <w:p>
      <w:pPr>
        <w:pStyle w:val="Heading1"/>
      </w:pPr>
      <w:r>
        <w:t>Diagrama de arquitetura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6013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urninsight_oci_opcao1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601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Figura 1 — churninsight_oci_opcao1 (Opção 1: VM + Docker Compose + OCIR)</w:t>
      </w:r>
    </w:p>
    <w:p>
      <w:r>
        <w:br w:type="page"/>
      </w:r>
    </w:p>
    <w:p>
      <w:pPr>
        <w:pStyle w:val="Heading1"/>
      </w:pPr>
      <w:r>
        <w:t>3. Componentes e responsabilidades</w:t>
      </w:r>
    </w:p>
    <w:p>
      <w:r>
        <w:t>A pilha em produção (VM) é composta por três containers, cada um com papel bem definido:</w:t>
      </w:r>
    </w:p>
    <w:p>
      <w:pPr>
        <w:pStyle w:val="Heading2"/>
      </w:pPr>
      <w:r>
        <w:t>3.1 Matriz de serviços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Serviço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Função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Portas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Observações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java-api (Spring Boot)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UI estática + API gateway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8080 (público)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Chama ds-service via DS_SERVICE_URL; acessa Postgres via JDBC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ds-service (FastAPI)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Inferência do modelo (XGBoost serializado)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8001 (interno)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Não exposto publicamente; atende apenas chamadas do java-api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postgres (DB)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Persistência (dados e/ou auditoria)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5432 (interno)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Volume persistente postgres_data; sem exposição pública</w:t>
            </w:r>
          </w:p>
        </w:tc>
      </w:tr>
    </w:tbl>
    <w:p/>
    <w:p>
      <w:pPr>
        <w:pStyle w:val="Heading1"/>
      </w:pPr>
      <w:r>
        <w:t>4. Fluxo de requisição e contratos entre serviços</w:t>
      </w:r>
    </w:p>
    <w:p>
      <w:r>
        <w:t>O fluxo de chamada é determinístico e evita dependências externas desnecessárias:</w:t>
      </w:r>
    </w:p>
    <w:p>
      <w:pPr>
        <w:pStyle w:val="ListBullet"/>
      </w:pPr>
      <w:r>
        <w:t>O usuário acessa a UI estática no endpoint HTTP público do java-api: http://&lt;IP_PUBLICO&gt;:8080/.</w:t>
      </w:r>
    </w:p>
    <w:p>
      <w:pPr>
        <w:pStyle w:val="ListBullet"/>
      </w:pPr>
      <w:r>
        <w:t>Ao acionar uma predição, o java-api recebe a requisição (ex.: POST /predict) e valida o payload.</w:t>
      </w:r>
    </w:p>
    <w:p>
      <w:pPr>
        <w:pStyle w:val="ListBullet"/>
      </w:pPr>
      <w:r>
        <w:t>O java-api encaminha a requisição ao ds-service via HTTP interno (Docker network): DS_SERVICE_URL=http://ds-service:8001.</w:t>
      </w:r>
    </w:p>
    <w:p>
      <w:pPr>
        <w:pStyle w:val="ListBullet"/>
      </w:pPr>
      <w:r>
        <w:t>O ds-service executa a inferência carregando o modelo a partir de MODEL_PATH (filesystem do container) e retorna a resposta.</w:t>
      </w:r>
    </w:p>
    <w:p>
      <w:pPr>
        <w:pStyle w:val="ListBullet"/>
      </w:pPr>
      <w:r>
        <w:t>Opcionalmente, o java-api registra metadados e/ou resultados no Postgres via JDBC (postgres:5432).</w:t>
      </w:r>
    </w:p>
    <w:p>
      <w:pPr>
        <w:pStyle w:val="Heading2"/>
      </w:pPr>
      <w:r>
        <w:t>4.1 Endpoints recomendados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Componente</w:t>
            </w:r>
          </w:p>
        </w:tc>
        <w:tc>
          <w:tcPr>
            <w:tcW w:type="dxa" w:w="33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Endpoint</w:t>
            </w:r>
          </w:p>
        </w:tc>
        <w:tc>
          <w:tcPr>
            <w:tcW w:type="dxa" w:w="3324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Uso</w:t>
            </w:r>
          </w:p>
        </w:tc>
      </w:tr>
      <w:tr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GET /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Entrega da UI estática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POST /predict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Recebe payload e chama o ds-service</w:t>
            </w:r>
          </w:p>
        </w:tc>
      </w:tr>
      <w:tr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GET /churn/health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Healthcheck (validação e monitoramento)</w:t>
            </w:r>
          </w:p>
        </w:tc>
      </w:tr>
      <w:tr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ds-service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POST /predict</w:t>
            </w:r>
          </w:p>
        </w:tc>
        <w:tc>
          <w:tcPr>
            <w:tcW w:type="dxa" w:w="3324"/>
            <w:shd w:val="clear" w:color="auto" w:fill="FFFFFF"/>
          </w:tcPr>
          <w:p>
            <w:r>
              <w:rPr>
                <w:color w:val="0F172A"/>
                <w:sz w:val="21"/>
              </w:rPr>
              <w:t>Inferência interna</w:t>
            </w:r>
          </w:p>
        </w:tc>
      </w:tr>
      <w:tr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ds-service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GET /health</w:t>
            </w:r>
          </w:p>
        </w:tc>
        <w:tc>
          <w:tcPr>
            <w:tcW w:type="dxa" w:w="3324"/>
            <w:shd w:val="clear" w:color="auto" w:fill="F8FAFC"/>
          </w:tcPr>
          <w:p>
            <w:r>
              <w:rPr>
                <w:color w:val="0F172A"/>
                <w:sz w:val="21"/>
              </w:rPr>
              <w:t>Healthcheck interno (recomendado)</w:t>
            </w:r>
          </w:p>
        </w:tc>
      </w:tr>
    </w:tbl>
    <w:p/>
    <w:p>
      <w:pPr>
        <w:pStyle w:val="Heading1"/>
      </w:pPr>
      <w:r>
        <w:t>5. Rede e segurança</w:t>
      </w:r>
    </w:p>
    <w:p>
      <w:r>
        <w:t>A exposição pública é intencionalmente mínima. Apenas a porta do java-api é publicada no host (VM). FastAPI e Postgres permanecem acessíveis apenas na rede interna do Docker.</w:t>
      </w:r>
    </w:p>
    <w:p>
      <w:pPr>
        <w:pStyle w:val="Heading2"/>
      </w:pPr>
      <w:r>
        <w:t>5.1 Regras de entrada (Ingress) sugeridas — NSG/Security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Porta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Origem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Destino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Finalidade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22/TCP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Seu IP (recomendado)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VM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Acesso SSH administrativo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8080/TCP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Internet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VM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UI + API (java-api)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8001/TCP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N/A (não expor)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VM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Acesso interno apenas via Docker network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5432/TCP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N/A (não expor)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VM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Acesso interno apenas via Docker network</w:t>
            </w:r>
          </w:p>
        </w:tc>
      </w:tr>
    </w:tbl>
    <w:p/>
    <w:p>
      <w:r>
        <w:t>Recomendação: restringir 22/TCP por CIDR (seu IP) e manter 8080/TCP aberta apenas durante a fase de demo. Em ambientes mais maduros, recomenda-se adicionar reverse proxy (Nginx) e expor apenas 80/443 com TLS.</w:t>
      </w:r>
    </w:p>
    <w:p>
      <w:pPr>
        <w:pStyle w:val="Heading1"/>
      </w:pPr>
      <w:r>
        <w:t>6. Pipeline de build e publicação (Dev -&gt; OCIR -&gt; VM)</w:t>
      </w:r>
    </w:p>
    <w:p>
      <w:r>
        <w:t>O ciclo de entrega é baseado em imagens Docker versionadas. A estação de desenvolvimento faz build e push para o OCIR. A VM autentica no OCIR e faz pull das mesmas imagens para subir a stack com Docker Compose.</w:t>
      </w:r>
    </w:p>
    <w:p>
      <w:pPr>
        <w:pStyle w:val="Heading2"/>
      </w:pPr>
      <w:r>
        <w:t>6.1 Artefatos publicados no OCIR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Repositório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Imagem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Tag recomendada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Origem no repositório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churn-api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&lt;region&gt;.ocir.io/&lt;ns&gt;/churn-api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1.0 (ou semver)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back-end/churn (Dockerfile do Spring Boot)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churn-ds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&lt;region&gt;.ocir.io/&lt;ns&gt;/churn-ds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1.0 (ou semver)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ds_service (Dockerfile do FastAPI)</w:t>
            </w:r>
          </w:p>
        </w:tc>
      </w:tr>
    </w:tbl>
    <w:p/>
    <w:p>
      <w:pPr>
        <w:pStyle w:val="Heading2"/>
      </w:pPr>
      <w:r>
        <w:t>6.2 Exemplo de docker-compose.prod.yml (produção)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020"/>
          </w:tcPr>
          <w:p>
            <w:r/>
            <w:r>
              <w:rPr>
                <w:rFonts w:ascii="Consolas" w:hAnsi="Consolas"/>
                <w:color w:val="E2E8F0"/>
                <w:sz w:val="19"/>
              </w:rPr>
              <w:t>version: "3.9"</w:t>
              <w:br/>
            </w:r>
            <w:r>
              <w:rPr>
                <w:rFonts w:ascii="Consolas" w:hAnsi="Consolas"/>
                <w:color w:val="E2E8F0"/>
                <w:sz w:val="19"/>
              </w:rPr>
              <w:t>services: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postgres: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image: postgres:15-alpine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environment: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POSTGRES_DB: churninsight_db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POSTGRES_USER: churnuser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POSTGRES_PASSWORD: churnpass123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volumes: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postgres_data:/var/lib/postgresql/data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networks: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churninsight-network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ds-service: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image: &lt;region&gt;.ocir.io/&lt;ns&gt;/churn-ds:1.0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environment: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HOST: 0.0.0.0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PORT: 8001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MODEL_PATH: /app/models/modelo_churn_final.pkl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expose: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"8001"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networks: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churninsight-network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restart: unless-stopped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java-api: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image: &lt;region&gt;.ocir.io/&lt;ns&gt;/churn-api:1.0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environment: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DATABASE_HOST: postgres:5432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DATABASE_NAME: churninsight_db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DATABASE_USER: churnuser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DATABASE_PASSWORD: churnpass123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DS_SERVICE_URL: http://ds-service:8001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ports: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"8080:8080"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depends_on: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postgres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ds-service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networks: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  - churninsight-network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restart: unless-stopped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>volumes: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postgres_data: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>networks: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churninsight-network:</w:t>
              <w:br/>
            </w:r>
            <w:r>
              <w:rPr>
                <w:rFonts w:ascii="Consolas" w:hAnsi="Consolas"/>
                <w:color w:val="E2E8F0"/>
                <w:sz w:val="19"/>
              </w:rPr>
              <w:t xml:space="preserve">    driver: bridge</w:t>
              <w:br/>
            </w:r>
          </w:p>
        </w:tc>
      </w:tr>
    </w:tbl>
    <w:p/>
    <w:p>
      <w:pPr>
        <w:pStyle w:val="Heading1"/>
      </w:pPr>
      <w:r>
        <w:t>7. Procedimento de implantação na VM (passo a passo)</w:t>
      </w:r>
    </w:p>
    <w:p>
      <w:pPr>
        <w:pStyle w:val="Heading2"/>
      </w:pPr>
      <w:r>
        <w:t>7.1 Preparar o OCIR</w:t>
      </w:r>
    </w:p>
    <w:p>
      <w:pPr>
        <w:pStyle w:val="ListBullet"/>
      </w:pPr>
      <w:r>
        <w:t>Identificar tenancy namespace e região do OCIR.</w:t>
      </w:r>
    </w:p>
    <w:p>
      <w:pPr>
        <w:pStyle w:val="ListBullet"/>
      </w:pPr>
      <w:r>
        <w:t>Criar repositórios churn-api e churn-ds.</w:t>
      </w:r>
    </w:p>
    <w:p>
      <w:pPr>
        <w:pStyle w:val="ListBullet"/>
      </w:pPr>
      <w:r>
        <w:t>Gerar Auth Token para docker login.</w:t>
      </w:r>
    </w:p>
    <w:p>
      <w:pPr>
        <w:pStyle w:val="Heading2"/>
      </w:pPr>
      <w:r>
        <w:t>7.2 Build e push das imagens (Dev)</w:t>
      </w:r>
    </w:p>
    <w:p>
      <w:pPr>
        <w:pStyle w:val="ListBullet"/>
      </w:pPr>
      <w:r>
        <w:t>Autenticar no OCIR (docker login).</w:t>
      </w:r>
    </w:p>
    <w:p>
      <w:pPr>
        <w:pStyle w:val="ListBullet"/>
      </w:pPr>
      <w:r>
        <w:t>Fazer build/tag das imagens.</w:t>
      </w:r>
    </w:p>
    <w:p>
      <w:pPr>
        <w:pStyle w:val="ListBullet"/>
      </w:pPr>
      <w:r>
        <w:t>Publicar com docker push.</w:t>
      </w:r>
    </w:p>
    <w:p>
      <w:pPr>
        <w:pStyle w:val="Heading2"/>
      </w:pPr>
      <w:r>
        <w:t>7.3 Provisionar a VM no OCI</w:t>
      </w:r>
    </w:p>
    <w:p>
      <w:pPr>
        <w:pStyle w:val="ListBullet"/>
      </w:pPr>
      <w:r>
        <w:t>Shape recomendado: Ampere A1 Flex (1 OCPU, 6 GB).</w:t>
      </w:r>
    </w:p>
    <w:p>
      <w:pPr>
        <w:pStyle w:val="ListBullet"/>
      </w:pPr>
      <w:r>
        <w:t>Criar VCN/subnet pública e NSG com 22 e 8080.</w:t>
      </w:r>
    </w:p>
    <w:p>
      <w:pPr>
        <w:pStyle w:val="ListBullet"/>
      </w:pPr>
      <w:r>
        <w:t>Não expor 5432 e 8001 publicamente.</w:t>
      </w:r>
    </w:p>
    <w:p>
      <w:pPr>
        <w:pStyle w:val="Heading2"/>
      </w:pPr>
      <w:r>
        <w:t>7.4 Instalar Docker + Compose na VM</w:t>
      </w:r>
    </w:p>
    <w:p>
      <w:pPr>
        <w:pStyle w:val="ListBullet"/>
      </w:pPr>
      <w:r>
        <w:t>Instalar Docker Engine (Oracle Linux/Ubuntu).</w:t>
      </w:r>
    </w:p>
    <w:p>
      <w:pPr>
        <w:pStyle w:val="ListBullet"/>
      </w:pPr>
      <w:r>
        <w:t>Habilitar e iniciar Docker.</w:t>
      </w:r>
    </w:p>
    <w:p>
      <w:pPr>
        <w:pStyle w:val="ListBullet"/>
      </w:pPr>
      <w:r>
        <w:t>Validar Docker Compose e permissões do usuário.</w:t>
      </w:r>
    </w:p>
    <w:p>
      <w:pPr>
        <w:pStyle w:val="Heading2"/>
      </w:pPr>
      <w:r>
        <w:t>7.5 Subir a stack em produção</w:t>
      </w:r>
    </w:p>
    <w:p>
      <w:pPr>
        <w:pStyle w:val="ListBullet"/>
      </w:pPr>
      <w:r>
        <w:t>Realizar docker login no OCIR na VM.</w:t>
      </w:r>
    </w:p>
    <w:p>
      <w:pPr>
        <w:pStyle w:val="ListBullet"/>
      </w:pPr>
      <w:r>
        <w:t>Copiar docker-compose.prod.yml (e opcional .env) para a VM.</w:t>
      </w:r>
    </w:p>
    <w:p>
      <w:pPr>
        <w:pStyle w:val="ListBullet"/>
      </w:pPr>
      <w:r>
        <w:t>Executar docker compose pull e docker compose up -d.</w:t>
      </w:r>
    </w:p>
    <w:p>
      <w:pPr>
        <w:pStyle w:val="ListBullet"/>
      </w:pPr>
      <w:r>
        <w:t>Validar UI e healthchecks.</w:t>
      </w:r>
    </w:p>
    <w:p>
      <w:pPr>
        <w:pStyle w:val="Heading2"/>
      </w:pPr>
      <w:r>
        <w:t>7.6 Comandos de referência (build/push/deploy)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0B1020"/>
          </w:tcPr>
          <w:p>
            <w:r/>
            <w:r>
              <w:rPr>
                <w:rFonts w:ascii="Consolas" w:hAnsi="Consolas"/>
                <w:color w:val="E2E8F0"/>
                <w:sz w:val="19"/>
              </w:rPr>
              <w:t># Login no OCIR (use Auth Token)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login &lt;region&gt;.ocir.io -u "&lt;namespace&gt;/&lt;user&gt;" -p "&lt;auth_token&gt;"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># Build/Push (no Dev)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build -t &lt;region&gt;.ocir.io/&lt;ns&gt;/churn-ds:1.0 ./ds_service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build -t &lt;region&gt;.ocir.io/&lt;ns&gt;/churn-api:1.0 ./back-end/churn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push &lt;region&gt;.ocir.io/&lt;ns&gt;/churn-ds:1.0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push &lt;region&gt;.ocir.io/&lt;ns&gt;/churn-api:1.0</w:t>
              <w:br/>
            </w:r>
            <w:r>
              <w:rPr>
                <w:rFonts w:ascii="Consolas" w:hAnsi="Consolas"/>
                <w:color w:val="E2E8F0"/>
                <w:sz w:val="19"/>
              </w:rPr>
              <w:br/>
            </w:r>
            <w:r>
              <w:rPr>
                <w:rFonts w:ascii="Consolas" w:hAnsi="Consolas"/>
                <w:color w:val="E2E8F0"/>
                <w:sz w:val="19"/>
              </w:rPr>
              <w:t># Deploy (na VM)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compose -f docker-compose.prod.yml pull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compose -f docker-compose.prod.yml up -d</w:t>
              <w:br/>
            </w:r>
            <w:r>
              <w:rPr>
                <w:rFonts w:ascii="Consolas" w:hAnsi="Consolas"/>
                <w:color w:val="E2E8F0"/>
                <w:sz w:val="19"/>
              </w:rPr>
              <w:t>docker compose -f docker-compose.prod.yml logs -f --tail=200</w:t>
              <w:br/>
            </w:r>
          </w:p>
        </w:tc>
      </w:tr>
    </w:tbl>
    <w:p/>
    <w:p>
      <w:pPr>
        <w:pStyle w:val="Heading1"/>
      </w:pPr>
      <w:r>
        <w:t>8. Operação, observabilidade e controle de custos</w:t>
      </w:r>
    </w:p>
    <w:p>
      <w:r>
        <w:t>Por se tratar de uma arquitetura de MVP em VM única, a operação deve priorizar simplicidade e contenção de custos.</w:t>
      </w:r>
    </w:p>
    <w:p>
      <w:r>
        <w:br w:type="page"/>
      </w:r>
    </w:p>
    <w:p>
      <w:pPr>
        <w:pStyle w:val="Heading2"/>
      </w:pPr>
      <w:r>
        <w:t>8.1 Checklist operacional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Tópico</w:t>
            </w:r>
          </w:p>
        </w:tc>
        <w:tc>
          <w:tcPr>
            <w:tcW w:type="dxa" w:w="4986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Recomendação prática</w:t>
            </w:r>
          </w:p>
        </w:tc>
      </w:tr>
      <w:tr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Logs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Usar docker compose logs; opcionalmente configurar OCI Logging/Agent para forward.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color w:val="0F172A"/>
                <w:sz w:val="21"/>
              </w:rPr>
              <w:t>Healthchecks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color w:val="0F172A"/>
                <w:sz w:val="21"/>
              </w:rPr>
              <w:t>Garantir /churn/health no java-api e /health no ds-service; usar para smoke tests.</w:t>
            </w:r>
          </w:p>
        </w:tc>
      </w:tr>
      <w:tr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Alertas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Definir Budget e alertas (por exemplo, 50% e 80% do crédito).</w:t>
            </w:r>
          </w:p>
        </w:tc>
      </w:tr>
      <w:tr>
        <w:tc>
          <w:tcPr>
            <w:tcW w:type="dxa" w:w="4986"/>
            <w:shd w:val="clear" w:color="auto" w:fill="FFFFFF"/>
          </w:tcPr>
          <w:p>
            <w:r>
              <w:rPr>
                <w:color w:val="0F172A"/>
                <w:sz w:val="21"/>
              </w:rPr>
              <w:t>Custos</w:t>
            </w:r>
          </w:p>
        </w:tc>
        <w:tc>
          <w:tcPr>
            <w:tcW w:type="dxa" w:w="4986"/>
            <w:shd w:val="clear" w:color="auto" w:fill="FFFFFF"/>
          </w:tcPr>
          <w:p>
            <w:r>
              <w:rPr>
                <w:color w:val="0F172A"/>
                <w:sz w:val="21"/>
              </w:rPr>
              <w:t>Desligar a VM quando não estiver usando; manter boot volume no mínimo necessário.</w:t>
            </w:r>
          </w:p>
        </w:tc>
      </w:tr>
      <w:tr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Backups</w:t>
            </w:r>
          </w:p>
        </w:tc>
        <w:tc>
          <w:tcPr>
            <w:tcW w:type="dxa" w:w="4986"/>
            <w:shd w:val="clear" w:color="auto" w:fill="F8FAFC"/>
          </w:tcPr>
          <w:p>
            <w:r>
              <w:rPr>
                <w:color w:val="0F172A"/>
                <w:sz w:val="21"/>
              </w:rPr>
              <w:t>Se houver dados relevantes, considerar backup do volume do Postgres (dump periódico).</w:t>
            </w:r>
          </w:p>
        </w:tc>
      </w:tr>
    </w:tbl>
    <w:p/>
    <w:p>
      <w:pPr>
        <w:pStyle w:val="Heading1"/>
      </w:pPr>
      <w:r>
        <w:t>9. Limitações e próximos incrementos</w:t>
      </w:r>
    </w:p>
    <w:p>
      <w:r>
        <w:t>Esta opção é adequada para demonstrações e MVPs, porém não oferece alta disponibilidade. As principais limitações e melhorias incrementais recomendadas são:</w:t>
      </w:r>
    </w:p>
    <w:p>
      <w:pPr>
        <w:pStyle w:val="ListBullet"/>
      </w:pPr>
      <w:r>
        <w:t>Ponto único de falha: a VM concentra todos os serviços (sem HA).</w:t>
      </w:r>
    </w:p>
    <w:p>
      <w:pPr>
        <w:pStyle w:val="ListBullet"/>
      </w:pPr>
      <w:r>
        <w:t>Escala manual: aumento de carga exige ajuste de shape/recursos ou migração para Container Instances/OKE.</w:t>
      </w:r>
    </w:p>
    <w:p>
      <w:pPr>
        <w:pStyle w:val="ListBullet"/>
      </w:pPr>
      <w:r>
        <w:t>Segurança/TLS: em produção real, adicionar reverse proxy e TLS (80/443), além de hardening de SSH e atualização de patches.</w:t>
      </w:r>
    </w:p>
    <w:p>
      <w:pPr>
        <w:pStyle w:val="ListBullet"/>
      </w:pPr>
      <w:r>
        <w:t>Observabilidade avançada: métricas, traces e centralização de logs (OCI Logging + dashboards).</w:t>
      </w:r>
    </w:p>
    <w:p>
      <w:pPr>
        <w:pStyle w:val="Heading1"/>
      </w:pPr>
      <w:r>
        <w:t>Apêndice A — Variáveis de ambiente (referência)</w:t>
      </w:r>
    </w:p>
    <w:p>
      <w:pPr>
        <w:pStyle w:val="Heading2"/>
      </w:pPr>
      <w:r>
        <w:t>A.1 Variáveis por serviço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Serviço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Variável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Exemplo</w:t>
            </w:r>
          </w:p>
        </w:tc>
        <w:tc>
          <w:tcPr>
            <w:tcW w:type="dxa" w:w="2493"/>
            <w:shd w:val="clear" w:color="auto" w:fill="0F172A"/>
          </w:tcPr>
          <w:p>
            <w:pPr>
              <w:jc w:val="center"/>
            </w:pPr>
            <w:r>
              <w:rPr>
                <w:b/>
                <w:color w:val="F8FAFC"/>
                <w:sz w:val="20"/>
              </w:rPr>
              <w:t>Descrição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DS_SERVICE_URL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http://ds-service:8001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URL interna do FastAPI no Docker network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DATABASE_HOST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postgres:5432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Host/porta do Postgres no Docker network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DATABASE_NAME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churninsight_db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Nome do banco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DATABASE_USER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churnuser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Usuário do banco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java-api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DATABASE_PASSWORD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*****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Senha do banco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ds-service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MODEL_PATH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/app/models/modelo_churn_final.pkl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Caminho do modelo serializado dentro do container</w:t>
            </w:r>
          </w:p>
        </w:tc>
      </w:tr>
      <w:tr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ds-service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HOST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0.0.0.0</w:t>
            </w:r>
          </w:p>
        </w:tc>
        <w:tc>
          <w:tcPr>
            <w:tcW w:type="dxa" w:w="2493"/>
            <w:shd w:val="clear" w:color="auto" w:fill="F8FAFC"/>
          </w:tcPr>
          <w:p>
            <w:r>
              <w:rPr>
                <w:color w:val="0F172A"/>
                <w:sz w:val="21"/>
              </w:rPr>
              <w:t>Bind do servidor (container)</w:t>
            </w:r>
          </w:p>
        </w:tc>
      </w:tr>
      <w:tr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ds-service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PORT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8001</w:t>
            </w:r>
          </w:p>
        </w:tc>
        <w:tc>
          <w:tcPr>
            <w:tcW w:type="dxa" w:w="2493"/>
            <w:shd w:val="clear" w:color="auto" w:fill="FFFFFF"/>
          </w:tcPr>
          <w:p>
            <w:r>
              <w:rPr>
                <w:color w:val="0F172A"/>
                <w:sz w:val="21"/>
              </w:rPr>
              <w:t>Porta interna do FastAPI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9"/>
      </w:rPr>
    </w:r>
    <w:r>
      <w:rPr>
        <w:color w:val="64748B"/>
        <w:sz w:val="19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4748B"/>
        <w:sz w:val="19"/>
      </w:rPr>
      <w:t>ChurnInsight — Deploy OCI (Opção 1)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E40A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