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lord-of-the-mysteries-ttrpg"/>
    <w:p>
      <w:pPr>
        <w:pStyle w:val="Heading1"/>
      </w:pPr>
      <w:r>
        <w:t xml:space="preserve">LORD OF THE MYSTERIES TTRPG</w:t>
      </w:r>
    </w:p>
    <w:bookmarkStart w:id="10" w:name="canonical-rulebook-source-v11"/>
    <w:p>
      <w:pPr>
        <w:pStyle w:val="Heading2"/>
      </w:pPr>
      <w:r>
        <w:t xml:space="preserve">Canonical Rulebook Source v1.1</w:t>
      </w:r>
    </w:p>
    <w:bookmarkStart w:id="9" w:name="canonical-precedence-v11"/>
    <w:p>
      <w:pPr>
        <w:pStyle w:val="Heading3"/>
      </w:pPr>
      <w:r>
        <w:t xml:space="preserve">Canonical Precedence (v1.1)</w:t>
      </w:r>
    </w:p>
    <w:p>
      <w:pPr>
        <w:pStyle w:val="FirstParagraph"/>
      </w:pPr>
      <w:r>
        <w:t xml:space="preserve">If this prose conflicts with</w:t>
      </w:r>
      <w:r>
        <w:t xml:space="preserve"> </w:t>
      </w:r>
      <w:r>
        <w:rPr>
          <w:rStyle w:val="VerbatimChar"/>
        </w:rPr>
        <w:t xml:space="preserve">system-config-v1.1.json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core-tables-v1.csv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schemas/*.v1_1.json</w:t>
      </w:r>
      <w:r>
        <w:t xml:space="preserve">, those machine-readable files are authoritative for implementation.</w:t>
      </w:r>
    </w:p>
    <w:bookmarkEnd w:id="9"/>
    <w:bookmarkEnd w:id="10"/>
    <w:bookmarkStart w:id="11" w:name="Xb5fbc898d3d1ce6d75bf49af3519096b35fe58e"/>
    <w:p>
      <w:pPr>
        <w:pStyle w:val="Heading2"/>
      </w:pPr>
      <w:r>
        <w:t xml:space="preserve">1. Core Check System</w:t>
      </w:r>
    </w:p>
    <w:p>
      <w:pPr>
        <w:pStyle w:val="FirstParagraph"/>
      </w:pPr>
      <w:r>
        <w:t xml:space="preserve">All core checks use 1d100 roll-under.</w:t>
      </w:r>
    </w:p>
    <w:p>
      <w:pPr>
        <w:pStyle w:val="SourceCode"/>
      </w:pPr>
      <w:r>
        <w:rPr>
          <w:rStyle w:val="VerbatimChar"/>
        </w:rPr>
        <w:t xml:space="preserve">FinalTarget = clamp(BaseTarget + Modifiers - Penalties, 1, 95)</w:t>
      </w:r>
      <w:r>
        <w:br/>
      </w:r>
      <w:r>
        <w:rPr>
          <w:rStyle w:val="VerbatimChar"/>
        </w:rPr>
        <w:t xml:space="preserve">Success if roll &lt;= FinalTarget</w:t>
      </w:r>
      <w:r>
        <w:br/>
      </w:r>
      <w:r>
        <w:rPr>
          <w:rStyle w:val="VerbatimChar"/>
        </w:rPr>
        <w:t xml:space="preserve">Critical success: natural 1</w:t>
      </w:r>
      <w:r>
        <w:br/>
      </w:r>
      <w:r>
        <w:rPr>
          <w:rStyle w:val="VerbatimChar"/>
        </w:rPr>
        <w:t xml:space="preserve">Critical failure: natural 100</w:t>
      </w:r>
      <w:r>
        <w:br/>
      </w:r>
      <w:r>
        <w:rPr>
          <w:rStyle w:val="VerbatimChar"/>
        </w:rPr>
        <w:t xml:space="preserve">Margin = abs(FinalTarget - roll)</w:t>
      </w:r>
    </w:p>
    <w:bookmarkEnd w:id="11"/>
    <w:bookmarkStart w:id="12" w:name="X5cba7b30c43c27311861f8e148b7f5431ba0dc1"/>
    <w:p>
      <w:pPr>
        <w:pStyle w:val="Heading2"/>
      </w:pPr>
      <w:r>
        <w:t xml:space="preserve">2. Action Economy</w:t>
      </w:r>
    </w:p>
    <w:p>
      <w:pPr>
        <w:pStyle w:val="FirstParagraph"/>
      </w:pPr>
      <w:r>
        <w:t xml:space="preserve">Per turn:</w:t>
      </w:r>
    </w:p>
    <w:p>
      <w:pPr>
        <w:pStyle w:val="Compact"/>
        <w:numPr>
          <w:ilvl w:val="0"/>
          <w:numId w:val="1001"/>
        </w:numPr>
      </w:pPr>
      <w:r>
        <w:t xml:space="preserve">1 Action</w:t>
      </w:r>
    </w:p>
    <w:p>
      <w:pPr>
        <w:pStyle w:val="Compact"/>
        <w:numPr>
          <w:ilvl w:val="0"/>
          <w:numId w:val="1001"/>
        </w:numPr>
      </w:pPr>
      <w:r>
        <w:t xml:space="preserve">1 Move</w:t>
      </w:r>
    </w:p>
    <w:p>
      <w:pPr>
        <w:pStyle w:val="Compact"/>
        <w:numPr>
          <w:ilvl w:val="0"/>
          <w:numId w:val="1001"/>
        </w:numPr>
      </w:pPr>
      <w:r>
        <w:t xml:space="preserve">1 Reaction per round</w:t>
      </w:r>
    </w:p>
    <w:p>
      <w:pPr>
        <w:pStyle w:val="FirstParagraph"/>
      </w:pPr>
      <w:r>
        <w:t xml:space="preserve">There is no universal Bonus Action. A bonus action exists only if an ability explicitly grants it.</w:t>
      </w:r>
    </w:p>
    <w:bookmarkEnd w:id="12"/>
    <w:bookmarkStart w:id="13" w:name="Xb9f3e0c40f13fac1ea88d565a82397aba5bcbe1"/>
    <w:p>
      <w:pPr>
        <w:pStyle w:val="Heading2"/>
      </w:pPr>
      <w:r>
        <w:t xml:space="preserve">3. Skills and Proficiency</w:t>
      </w:r>
    </w:p>
    <w:p>
      <w:pPr>
        <w:pStyle w:val="SourceCode"/>
      </w:pPr>
      <w:r>
        <w:rPr>
          <w:rStyle w:val="VerbatimChar"/>
        </w:rPr>
        <w:t xml:space="preserve">SkillTarget = clamp(</w:t>
      </w:r>
      <w:r>
        <w:br/>
      </w:r>
      <w:r>
        <w:rPr>
          <w:rStyle w:val="VerbatimChar"/>
        </w:rPr>
        <w:t xml:space="preserve">  25 + floor(LinkedAttribute / 3) + ProficiencyBonus + floor(LUCK / 10) + SituationalModifiers - SituationalPenalties,</w:t>
      </w:r>
      <w:r>
        <w:br/>
      </w:r>
      <w:r>
        <w:rPr>
          <w:rStyle w:val="VerbatimChar"/>
        </w:rPr>
        <w:t xml:space="preserve">  1,</w:t>
      </w:r>
      <w:r>
        <w:br/>
      </w:r>
      <w:r>
        <w:rPr>
          <w:rStyle w:val="VerbatimChar"/>
        </w:rPr>
        <w:t xml:space="preserve">  95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Passive rating:</w:t>
      </w:r>
    </w:p>
    <w:p>
      <w:pPr>
        <w:pStyle w:val="SourceCode"/>
      </w:pPr>
      <w:r>
        <w:rPr>
          <w:rStyle w:val="VerbatimChar"/>
        </w:rPr>
        <w:t xml:space="preserve">PassiveRating = floor(SkillTarget / 2)</w:t>
      </w:r>
    </w:p>
    <w:bookmarkEnd w:id="13"/>
    <w:bookmarkStart w:id="14" w:name="Xfcb43f2442d6f905e4b091ce8c9a5c426ffcdf9"/>
    <w:p>
      <w:pPr>
        <w:pStyle w:val="Heading2"/>
      </w:pPr>
      <w:r>
        <w:t xml:space="preserve">4. Corruption</w:t>
      </w:r>
    </w:p>
    <w:p>
      <w:pPr>
        <w:pStyle w:val="SourceCode"/>
      </w:pPr>
      <w:r>
        <w:rPr>
          <w:rStyle w:val="VerbatimChar"/>
        </w:rPr>
        <w:t xml:space="preserve">CorruptionPenalty = max(-6, -1 * floor(CurrentCorruptionPct / 10))</w:t>
      </w:r>
    </w:p>
    <w:p>
      <w:pPr>
        <w:pStyle w:val="FirstParagraph"/>
      </w:pPr>
      <w:r>
        <w:t xml:space="preserve">Mandatory trigger thresholds are</w:t>
      </w:r>
      <w:r>
        <w:t xml:space="preserve"> </w:t>
      </w:r>
      <w:r>
        <w:rPr>
          <w:rStyle w:val="VerbatimChar"/>
        </w:rPr>
        <w:t xml:space="preserve">30%</w:t>
      </w:r>
      <w:r>
        <w:t xml:space="preserve">,</w:t>
      </w:r>
      <w:r>
        <w:t xml:space="preserve"> </w:t>
      </w:r>
      <w:r>
        <w:rPr>
          <w:rStyle w:val="VerbatimChar"/>
        </w:rPr>
        <w:t xml:space="preserve">60%</w:t>
      </w:r>
      <w:r>
        <w:t xml:space="preserve">,</w:t>
      </w:r>
      <w:r>
        <w:t xml:space="preserve"> </w:t>
      </w:r>
      <w:r>
        <w:rPr>
          <w:rStyle w:val="VerbatimChar"/>
        </w:rPr>
        <w:t xml:space="preserve">90%</w:t>
      </w:r>
      <w:r>
        <w:t xml:space="preserve">,</w:t>
      </w:r>
      <w:r>
        <w:t xml:space="preserve"> </w:t>
      </w:r>
      <w:r>
        <w:rPr>
          <w:rStyle w:val="VerbatimChar"/>
        </w:rPr>
        <w:t xml:space="preserve">100%</w:t>
      </w:r>
      <w:r>
        <w:t xml:space="preserve">.</w:t>
      </w:r>
    </w:p>
    <w:bookmarkEnd w:id="14"/>
    <w:bookmarkStart w:id="15" w:name="Xa2c6f62900d2fee17382d2618453446633baeae"/>
    <w:p>
      <w:pPr>
        <w:pStyle w:val="Heading2"/>
      </w:pPr>
      <w:r>
        <w:t xml:space="preserve">5. Ability Data Contract (Schema-Aligned)</w:t>
      </w:r>
    </w:p>
    <w:p>
      <w:pPr>
        <w:pStyle w:val="FirstParagraph"/>
      </w:pPr>
      <w:r>
        <w:t xml:space="preserve">All published abilities must align to</w:t>
      </w:r>
      <w:r>
        <w:t xml:space="preserve"> </w:t>
      </w:r>
      <w:r>
        <w:rPr>
          <w:rStyle w:val="VerbatimChar"/>
        </w:rPr>
        <w:t xml:space="preserve">schemas/item.system.schema.v1_1.json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"ability.seer.hunch_of_danger"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"Hunch of Danger"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"ability"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"pathwayId"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"pathway.seer"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"sequence"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"minSequence"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"activation"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"spirit"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"cooldown"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"formulaKey"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"check.skill.v1"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"effects"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"allowedPathwayIds"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"pathway.seer"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"usageLimit"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"perRound"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"maxUses"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"dependencies"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"minSystemVersion"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"maxTestedSystemVersion"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"1.1.0"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5"/>
    <w:bookmarkStart w:id="16" w:name="X01e856155184002e4d19b2cd8eec92b267a9d7b"/>
    <w:p>
      <w:pPr>
        <w:pStyle w:val="Heading2"/>
      </w:pPr>
      <w:r>
        <w:t xml:space="preserve">6. Sequence Gate Semantics</w:t>
      </w:r>
    </w:p>
    <w:p>
      <w:pPr>
        <w:pStyle w:val="FirstParagraph"/>
      </w:pPr>
      <w:r>
        <w:t xml:space="preserve">Lower sequence numbers are stronger (</w:t>
      </w:r>
      <w:r>
        <w:rPr>
          <w:rStyle w:val="VerbatimChar"/>
        </w:rPr>
        <w:t xml:space="preserve">9 -&gt; 0</w:t>
      </w:r>
      <w:r>
        <w:t xml:space="preserve">).</w:t>
      </w:r>
    </w:p>
    <w:p>
      <w:pPr>
        <w:pStyle w:val="BodyText"/>
      </w:pPr>
      <w:r>
        <w:t xml:space="preserve">An ability may be used when:</w:t>
      </w:r>
    </w:p>
    <w:p>
      <w:pPr>
        <w:pStyle w:val="Compact"/>
        <w:numPr>
          <w:ilvl w:val="0"/>
          <w:numId w:val="1002"/>
        </w:numPr>
      </w:pPr>
      <w:r>
        <w:t xml:space="preserve">pathway permission is valid, and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actor.sequence &lt;= ability.minSequence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2026-03-01T21:31:40Z</dcterms:created>
  <dcterms:modified xsi:type="dcterms:W3CDTF">2026-03-01T21:31:40Z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