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C449A" w14:textId="77777777" w:rsidR="002400E4" w:rsidRDefault="60AC9582">
      <w:pPr>
        <w:pStyle w:val="Title"/>
      </w:pPr>
      <w:r>
        <w:t>Peoples Gas, the Pipe Retirement Program, and ICC Docket 26-0065</w:t>
      </w:r>
    </w:p>
    <w:p w14:paraId="1A0BABBE" w14:textId="77777777" w:rsidR="002400E4" w:rsidRDefault="00266CD9" w:rsidP="006010C3">
      <w:r w:rsidRPr="00266CD9">
        <w:rPr>
          <w:b/>
          <w:bCs/>
        </w:rPr>
        <w:t>Purpose and government</w:t>
      </w:r>
      <w:r w:rsidR="003D2442" w:rsidRPr="00266CD9">
        <w:rPr>
          <w:b/>
        </w:rPr>
        <w:t xml:space="preserve"> relations takeaway.</w:t>
      </w:r>
      <w:r w:rsidR="003D2442">
        <w:t xml:space="preserve"> </w:t>
      </w:r>
      <w:r w:rsidRPr="00266CD9">
        <w:t>This paper is an internal decision and preparation tool. It explains</w:t>
      </w:r>
      <w:r w:rsidR="003D2442">
        <w:t xml:space="preserve"> the Peoples Gas </w:t>
      </w:r>
      <w:r w:rsidRPr="00266CD9">
        <w:t xml:space="preserve">record, identifies transferable ICC standards, tests the implications for Ameren Illinois, and recommends government relations actions. The central conclusion is that the Peoples Gas </w:t>
      </w:r>
      <w:r w:rsidR="003D2442">
        <w:t xml:space="preserve">proceeding </w:t>
      </w:r>
      <w:r w:rsidRPr="00266CD9">
        <w:t xml:space="preserve">should be treated </w:t>
      </w:r>
      <w:r w:rsidR="003D2442">
        <w:t xml:space="preserve">as evidence of </w:t>
      </w:r>
      <w:r w:rsidRPr="00266CD9">
        <w:t xml:space="preserve">broader </w:t>
      </w:r>
      <w:r w:rsidR="003D2442">
        <w:t>scrutiny</w:t>
      </w:r>
      <w:r w:rsidRPr="00266CD9">
        <w:t xml:space="preserve"> of utility capital plans</w:t>
      </w:r>
      <w:r w:rsidR="003D2442">
        <w:t>, not as an isolated gas utility controversy.</w:t>
      </w:r>
    </w:p>
    <w:p w14:paraId="32897CE2" w14:textId="77777777" w:rsidR="00266CD9" w:rsidRDefault="00266CD9">
      <w:pPr>
        <w:pStyle w:val="BodyText"/>
        <w:rPr>
          <w:kern w:val="2"/>
          <w14:ligatures w14:val="standardContextual"/>
        </w:rPr>
      </w:pPr>
      <w:r>
        <w:rPr>
          <w:b/>
          <w:bCs/>
        </w:rPr>
        <w:t>What is established.</w:t>
      </w:r>
      <w:r>
        <w:t xml:space="preserve"> Recent ICC orders show sustained scrutiny of capital need, timing, pace, alternatives, affordability, and measurable customer benefits across multiple Illinois utilities.</w:t>
      </w:r>
    </w:p>
    <w:p w14:paraId="40D407BD" w14:textId="77777777" w:rsidR="00266CD9" w:rsidRDefault="00266CD9">
      <w:pPr>
        <w:pStyle w:val="BodyText"/>
        <w:rPr>
          <w:kern w:val="2"/>
          <w14:ligatures w14:val="standardContextual"/>
        </w:rPr>
      </w:pPr>
      <w:r>
        <w:rPr>
          <w:b/>
          <w:bCs/>
        </w:rPr>
        <w:t>What is emerging.</w:t>
      </w:r>
      <w:r>
        <w:t xml:space="preserve"> Alternatives analysis, affordability metrics, and closer alignment between approved plans and recoverable investment are becoming practical expectations in major utility proceedings.</w:t>
      </w:r>
    </w:p>
    <w:p w14:paraId="3A081C30" w14:textId="77777777" w:rsidR="00266CD9" w:rsidRDefault="00266CD9">
      <w:pPr>
        <w:pStyle w:val="BodyText"/>
        <w:rPr>
          <w:kern w:val="2"/>
          <w14:ligatures w14:val="standardContextual"/>
        </w:rPr>
      </w:pPr>
      <w:r>
        <w:rPr>
          <w:b/>
          <w:bCs/>
        </w:rPr>
        <w:t xml:space="preserve">What </w:t>
      </w:r>
      <w:proofErr w:type="gramStart"/>
      <w:r>
        <w:rPr>
          <w:b/>
          <w:bCs/>
        </w:rPr>
        <w:t>Ameren Illinois should</w:t>
      </w:r>
      <w:proofErr w:type="gramEnd"/>
      <w:r>
        <w:rPr>
          <w:b/>
          <w:bCs/>
        </w:rPr>
        <w:t xml:space="preserve"> do now.</w:t>
      </w:r>
      <w:r>
        <w:t xml:space="preserve"> Strengthen the MYIGP record, document alternatives and affordability impacts, align communications around reliability, economic development, and cost discipline, and prepare evidence that explains why each major investment is needed now and at the proposed pace.</w:t>
      </w:r>
    </w:p>
    <w:p w14:paraId="17EE59FB" w14:textId="77777777" w:rsidR="00266CD9" w:rsidRDefault="00266CD9">
      <w:pPr>
        <w:pStyle w:val="BodyText"/>
        <w:rPr>
          <w:kern w:val="2"/>
          <w14:ligatures w14:val="standardContextual"/>
        </w:rPr>
      </w:pPr>
      <w:r>
        <w:rPr>
          <w:b/>
          <w:bCs/>
        </w:rPr>
        <w:t>What should be monitored.</w:t>
      </w:r>
      <w:r>
        <w:t xml:space="preserve"> Track Docket 26-0065, the Future of Gas final report, the 2026 Nicor proceeding, and substantive rulings in Ameren Illinois’s MYIGP for standards that may affect future filings or legislative strategy.</w:t>
      </w:r>
    </w:p>
    <w:p w14:paraId="2506D29C" w14:textId="77777777" w:rsidR="002400E4" w:rsidRDefault="003D2442">
      <w:pPr>
        <w:pStyle w:val="Subtitle"/>
      </w:pPr>
      <w:r>
        <w:t>A Benchmarked Knowledge Paper on Illinois Utility Capital Recovery, Affordability, and Regulatory Precedent</w:t>
      </w:r>
    </w:p>
    <w:p w14:paraId="618E132E" w14:textId="77777777" w:rsidR="002400E4" w:rsidRDefault="003D2442">
      <w:pPr>
        <w:pStyle w:val="Author"/>
      </w:pPr>
      <w:r>
        <w:t>Prepared for Government Relations | Ameren Illinois</w:t>
      </w:r>
    </w:p>
    <w:p w14:paraId="5E58AC5D" w14:textId="77777777" w:rsidR="002400E4" w:rsidRDefault="003D2442">
      <w:pPr>
        <w:pStyle w:val="Date"/>
      </w:pPr>
      <w:r>
        <w:t>September 29, 2026</w:t>
      </w:r>
    </w:p>
    <w:bookmarkStart w:id="0" w:name="_Toc241588812" w:displacedByCustomXml="next"/>
    <w:bookmarkStart w:id="1" w:name="how-to-use-this-document" w:displacedByCustomXml="next"/>
    <w:sdt>
      <w:sdtPr>
        <w:id w:val="-1819333258"/>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33314685" w14:textId="16A818B1" w:rsidR="00334D31" w:rsidRDefault="00334D31">
          <w:pPr>
            <w:pStyle w:val="TOCHeading"/>
          </w:pPr>
          <w:r>
            <w:t>Contents</w:t>
          </w:r>
        </w:p>
        <w:p w14:paraId="5A227F24" w14:textId="26C4C32C" w:rsidR="00334D31" w:rsidRPr="00334D31" w:rsidRDefault="00334D31">
          <w:pPr>
            <w:pStyle w:val="TOC1"/>
            <w:tabs>
              <w:tab w:val="right" w:leader="dot" w:pos="9350"/>
            </w:tabs>
            <w:rPr>
              <w:rFonts w:eastAsiaTheme="minorEastAsia"/>
              <w:noProof/>
              <w:kern w:val="2"/>
            </w:rPr>
          </w:pPr>
          <w:r>
            <w:fldChar w:fldCharType="begin"/>
          </w:r>
          <w:r>
            <w:instrText xml:space="preserve"> TOC \o "1-3" \h \z \u </w:instrText>
          </w:r>
          <w:r>
            <w:fldChar w:fldCharType="separate"/>
          </w:r>
          <w:hyperlink w:anchor="_Toc241591518" w:history="1">
            <w:r w:rsidRPr="0040191A">
              <w:rPr>
                <w:rStyle w:val="Hyperlink"/>
                <w:noProof/>
              </w:rPr>
              <w:t>How to Use This Document</w:t>
            </w:r>
            <w:r>
              <w:rPr>
                <w:noProof/>
                <w:webHidden/>
              </w:rPr>
              <w:tab/>
            </w:r>
            <w:r>
              <w:rPr>
                <w:noProof/>
                <w:webHidden/>
              </w:rPr>
              <w:fldChar w:fldCharType="begin"/>
            </w:r>
            <w:r>
              <w:rPr>
                <w:noProof/>
                <w:webHidden/>
              </w:rPr>
              <w:instrText xml:space="preserve"> PAGEREF _Toc241591518 \h </w:instrText>
            </w:r>
            <w:r>
              <w:rPr>
                <w:noProof/>
                <w:webHidden/>
              </w:rPr>
            </w:r>
            <w:r>
              <w:rPr>
                <w:noProof/>
                <w:webHidden/>
              </w:rPr>
              <w:fldChar w:fldCharType="separate"/>
            </w:r>
            <w:r>
              <w:rPr>
                <w:noProof/>
                <w:webHidden/>
              </w:rPr>
              <w:t>1</w:t>
            </w:r>
            <w:r>
              <w:rPr>
                <w:noProof/>
                <w:webHidden/>
              </w:rPr>
              <w:fldChar w:fldCharType="end"/>
            </w:r>
          </w:hyperlink>
        </w:p>
        <w:p w14:paraId="78745DB8" w14:textId="003B1498" w:rsidR="00334D31" w:rsidRPr="00334D31" w:rsidRDefault="00334D31">
          <w:pPr>
            <w:pStyle w:val="TOC1"/>
            <w:tabs>
              <w:tab w:val="right" w:leader="dot" w:pos="9350"/>
            </w:tabs>
            <w:rPr>
              <w:rFonts w:eastAsiaTheme="minorEastAsia"/>
              <w:noProof/>
              <w:kern w:val="2"/>
            </w:rPr>
          </w:pPr>
          <w:hyperlink w:anchor="_Toc241591519" w:history="1">
            <w:r w:rsidRPr="0040191A">
              <w:rPr>
                <w:rStyle w:val="Hyperlink"/>
                <w:noProof/>
              </w:rPr>
              <w:t>Learning Objectives</w:t>
            </w:r>
            <w:r>
              <w:rPr>
                <w:noProof/>
                <w:webHidden/>
              </w:rPr>
              <w:tab/>
            </w:r>
            <w:r>
              <w:rPr>
                <w:noProof/>
                <w:webHidden/>
              </w:rPr>
              <w:fldChar w:fldCharType="begin"/>
            </w:r>
            <w:r>
              <w:rPr>
                <w:noProof/>
                <w:webHidden/>
              </w:rPr>
              <w:instrText xml:space="preserve"> PAGEREF _Toc241591519 \h </w:instrText>
            </w:r>
            <w:r>
              <w:rPr>
                <w:noProof/>
                <w:webHidden/>
              </w:rPr>
            </w:r>
            <w:r>
              <w:rPr>
                <w:noProof/>
                <w:webHidden/>
              </w:rPr>
              <w:fldChar w:fldCharType="separate"/>
            </w:r>
            <w:r>
              <w:rPr>
                <w:noProof/>
                <w:webHidden/>
              </w:rPr>
              <w:t>2</w:t>
            </w:r>
            <w:r>
              <w:rPr>
                <w:noProof/>
                <w:webHidden/>
              </w:rPr>
              <w:fldChar w:fldCharType="end"/>
            </w:r>
          </w:hyperlink>
        </w:p>
        <w:p w14:paraId="233C4D4A" w14:textId="7392813B" w:rsidR="00334D31" w:rsidRPr="00334D31" w:rsidRDefault="00334D31">
          <w:pPr>
            <w:pStyle w:val="TOC1"/>
            <w:tabs>
              <w:tab w:val="right" w:leader="dot" w:pos="9350"/>
            </w:tabs>
            <w:rPr>
              <w:rFonts w:eastAsiaTheme="minorEastAsia"/>
              <w:noProof/>
              <w:kern w:val="2"/>
            </w:rPr>
          </w:pPr>
          <w:hyperlink w:anchor="_Toc241591520" w:history="1">
            <w:r w:rsidRPr="0040191A">
              <w:rPr>
                <w:rStyle w:val="Hyperlink"/>
                <w:noProof/>
              </w:rPr>
              <w:t>Concept Map</w:t>
            </w:r>
            <w:r>
              <w:rPr>
                <w:noProof/>
                <w:webHidden/>
              </w:rPr>
              <w:tab/>
            </w:r>
            <w:r>
              <w:rPr>
                <w:noProof/>
                <w:webHidden/>
              </w:rPr>
              <w:fldChar w:fldCharType="begin"/>
            </w:r>
            <w:r>
              <w:rPr>
                <w:noProof/>
                <w:webHidden/>
              </w:rPr>
              <w:instrText xml:space="preserve"> PAGEREF _Toc241591520 \h </w:instrText>
            </w:r>
            <w:r>
              <w:rPr>
                <w:noProof/>
                <w:webHidden/>
              </w:rPr>
            </w:r>
            <w:r>
              <w:rPr>
                <w:noProof/>
                <w:webHidden/>
              </w:rPr>
              <w:fldChar w:fldCharType="separate"/>
            </w:r>
            <w:r>
              <w:rPr>
                <w:noProof/>
                <w:webHidden/>
              </w:rPr>
              <w:t>3</w:t>
            </w:r>
            <w:r>
              <w:rPr>
                <w:noProof/>
                <w:webHidden/>
              </w:rPr>
              <w:fldChar w:fldCharType="end"/>
            </w:r>
          </w:hyperlink>
        </w:p>
        <w:p w14:paraId="5B6DC3A8" w14:textId="55067130" w:rsidR="00334D31" w:rsidRPr="00334D31" w:rsidRDefault="00334D31">
          <w:pPr>
            <w:pStyle w:val="TOC1"/>
            <w:tabs>
              <w:tab w:val="right" w:leader="dot" w:pos="9350"/>
            </w:tabs>
            <w:rPr>
              <w:rFonts w:eastAsiaTheme="minorEastAsia"/>
              <w:noProof/>
              <w:kern w:val="2"/>
            </w:rPr>
          </w:pPr>
          <w:hyperlink w:anchor="_Toc241591521" w:history="1">
            <w:r w:rsidRPr="0040191A">
              <w:rPr>
                <w:rStyle w:val="Hyperlink"/>
                <w:noProof/>
              </w:rPr>
              <w:t>Executive Summary</w:t>
            </w:r>
            <w:r>
              <w:rPr>
                <w:noProof/>
                <w:webHidden/>
              </w:rPr>
              <w:tab/>
            </w:r>
            <w:r>
              <w:rPr>
                <w:noProof/>
                <w:webHidden/>
              </w:rPr>
              <w:fldChar w:fldCharType="begin"/>
            </w:r>
            <w:r>
              <w:rPr>
                <w:noProof/>
                <w:webHidden/>
              </w:rPr>
              <w:instrText xml:space="preserve"> PAGEREF _Toc241591521 \h </w:instrText>
            </w:r>
            <w:r>
              <w:rPr>
                <w:noProof/>
                <w:webHidden/>
              </w:rPr>
            </w:r>
            <w:r>
              <w:rPr>
                <w:noProof/>
                <w:webHidden/>
              </w:rPr>
              <w:fldChar w:fldCharType="separate"/>
            </w:r>
            <w:r>
              <w:rPr>
                <w:noProof/>
                <w:webHidden/>
              </w:rPr>
              <w:t>4</w:t>
            </w:r>
            <w:r>
              <w:rPr>
                <w:noProof/>
                <w:webHidden/>
              </w:rPr>
              <w:fldChar w:fldCharType="end"/>
            </w:r>
          </w:hyperlink>
        </w:p>
        <w:p w14:paraId="1CF7F194" w14:textId="3D690E5F" w:rsidR="00334D31" w:rsidRPr="00334D31" w:rsidRDefault="00334D31">
          <w:pPr>
            <w:pStyle w:val="TOC1"/>
            <w:tabs>
              <w:tab w:val="right" w:leader="dot" w:pos="9350"/>
            </w:tabs>
            <w:rPr>
              <w:rFonts w:eastAsiaTheme="minorEastAsia"/>
              <w:noProof/>
              <w:kern w:val="2"/>
            </w:rPr>
          </w:pPr>
          <w:hyperlink w:anchor="_Toc241591522" w:history="1">
            <w:r w:rsidRPr="0040191A">
              <w:rPr>
                <w:rStyle w:val="Hyperlink"/>
                <w:noProof/>
              </w:rPr>
              <w:t>Section 1. Benchmark Analysis: Illinois Utility Programs Compared</w:t>
            </w:r>
            <w:r>
              <w:rPr>
                <w:noProof/>
                <w:webHidden/>
              </w:rPr>
              <w:tab/>
            </w:r>
            <w:r>
              <w:rPr>
                <w:noProof/>
                <w:webHidden/>
              </w:rPr>
              <w:fldChar w:fldCharType="begin"/>
            </w:r>
            <w:r>
              <w:rPr>
                <w:noProof/>
                <w:webHidden/>
              </w:rPr>
              <w:instrText xml:space="preserve"> PAGEREF _Toc241591522 \h </w:instrText>
            </w:r>
            <w:r>
              <w:rPr>
                <w:noProof/>
                <w:webHidden/>
              </w:rPr>
            </w:r>
            <w:r>
              <w:rPr>
                <w:noProof/>
                <w:webHidden/>
              </w:rPr>
              <w:fldChar w:fldCharType="separate"/>
            </w:r>
            <w:r>
              <w:rPr>
                <w:noProof/>
                <w:webHidden/>
              </w:rPr>
              <w:t>5</w:t>
            </w:r>
            <w:r>
              <w:rPr>
                <w:noProof/>
                <w:webHidden/>
              </w:rPr>
              <w:fldChar w:fldCharType="end"/>
            </w:r>
          </w:hyperlink>
        </w:p>
        <w:p w14:paraId="6EFB83AB" w14:textId="308BDB70" w:rsidR="00334D31" w:rsidRDefault="00334D31">
          <w:pPr>
            <w:pStyle w:val="TOC2"/>
            <w:tabs>
              <w:tab w:val="right" w:leader="dot" w:pos="9350"/>
            </w:tabs>
            <w:rPr>
              <w:noProof/>
            </w:rPr>
          </w:pPr>
          <w:hyperlink w:anchor="_Toc241591523" w:history="1">
            <w:r w:rsidRPr="0040191A">
              <w:rPr>
                <w:rStyle w:val="Hyperlink"/>
                <w:noProof/>
              </w:rPr>
              <w:t>1.1 Recent Illinois Rate Case Outcomes</w:t>
            </w:r>
            <w:r>
              <w:rPr>
                <w:noProof/>
                <w:webHidden/>
              </w:rPr>
              <w:tab/>
            </w:r>
            <w:r>
              <w:rPr>
                <w:noProof/>
                <w:webHidden/>
              </w:rPr>
              <w:fldChar w:fldCharType="begin"/>
            </w:r>
            <w:r>
              <w:rPr>
                <w:noProof/>
                <w:webHidden/>
              </w:rPr>
              <w:instrText xml:space="preserve"> PAGEREF _Toc241591523 \h </w:instrText>
            </w:r>
            <w:r>
              <w:rPr>
                <w:noProof/>
                <w:webHidden/>
              </w:rPr>
            </w:r>
            <w:r>
              <w:rPr>
                <w:noProof/>
                <w:webHidden/>
              </w:rPr>
              <w:fldChar w:fldCharType="separate"/>
            </w:r>
            <w:r>
              <w:rPr>
                <w:noProof/>
                <w:webHidden/>
              </w:rPr>
              <w:t>5</w:t>
            </w:r>
            <w:r>
              <w:rPr>
                <w:noProof/>
                <w:webHidden/>
              </w:rPr>
              <w:fldChar w:fldCharType="end"/>
            </w:r>
          </w:hyperlink>
        </w:p>
        <w:p w14:paraId="41F72D35" w14:textId="1F662599" w:rsidR="00334D31" w:rsidRDefault="00334D31">
          <w:pPr>
            <w:pStyle w:val="TOC2"/>
            <w:tabs>
              <w:tab w:val="right" w:leader="dot" w:pos="9350"/>
            </w:tabs>
            <w:rPr>
              <w:noProof/>
            </w:rPr>
          </w:pPr>
          <w:hyperlink w:anchor="_Toc241591524" w:history="1">
            <w:r w:rsidRPr="0040191A">
              <w:rPr>
                <w:rStyle w:val="Hyperlink"/>
                <w:noProof/>
              </w:rPr>
              <w:t>1.2 Electric Multi-Year Grid Plan Outcomes</w:t>
            </w:r>
            <w:r>
              <w:rPr>
                <w:noProof/>
                <w:webHidden/>
              </w:rPr>
              <w:tab/>
            </w:r>
            <w:r>
              <w:rPr>
                <w:noProof/>
                <w:webHidden/>
              </w:rPr>
              <w:fldChar w:fldCharType="begin"/>
            </w:r>
            <w:r>
              <w:rPr>
                <w:noProof/>
                <w:webHidden/>
              </w:rPr>
              <w:instrText xml:space="preserve"> PAGEREF _Toc241591524 \h </w:instrText>
            </w:r>
            <w:r>
              <w:rPr>
                <w:noProof/>
                <w:webHidden/>
              </w:rPr>
            </w:r>
            <w:r>
              <w:rPr>
                <w:noProof/>
                <w:webHidden/>
              </w:rPr>
              <w:fldChar w:fldCharType="separate"/>
            </w:r>
            <w:r>
              <w:rPr>
                <w:noProof/>
                <w:webHidden/>
              </w:rPr>
              <w:t>6</w:t>
            </w:r>
            <w:r>
              <w:rPr>
                <w:noProof/>
                <w:webHidden/>
              </w:rPr>
              <w:fldChar w:fldCharType="end"/>
            </w:r>
          </w:hyperlink>
        </w:p>
        <w:p w14:paraId="428E2E49" w14:textId="6F5EA49B" w:rsidR="00334D31" w:rsidRDefault="00334D31">
          <w:pPr>
            <w:pStyle w:val="TOC2"/>
            <w:tabs>
              <w:tab w:val="right" w:leader="dot" w:pos="9350"/>
            </w:tabs>
            <w:rPr>
              <w:noProof/>
            </w:rPr>
          </w:pPr>
          <w:hyperlink w:anchor="_Toc241591525" w:history="1">
            <w:r w:rsidRPr="0040191A">
              <w:rPr>
                <w:rStyle w:val="Hyperlink"/>
                <w:noProof/>
              </w:rPr>
              <w:t>1.3 Capital Disallowance and Prudence Benchmarks</w:t>
            </w:r>
            <w:r>
              <w:rPr>
                <w:noProof/>
                <w:webHidden/>
              </w:rPr>
              <w:tab/>
            </w:r>
            <w:r>
              <w:rPr>
                <w:noProof/>
                <w:webHidden/>
              </w:rPr>
              <w:fldChar w:fldCharType="begin"/>
            </w:r>
            <w:r>
              <w:rPr>
                <w:noProof/>
                <w:webHidden/>
              </w:rPr>
              <w:instrText xml:space="preserve"> PAGEREF _Toc241591525 \h </w:instrText>
            </w:r>
            <w:r>
              <w:rPr>
                <w:noProof/>
                <w:webHidden/>
              </w:rPr>
            </w:r>
            <w:r>
              <w:rPr>
                <w:noProof/>
                <w:webHidden/>
              </w:rPr>
              <w:fldChar w:fldCharType="separate"/>
            </w:r>
            <w:r>
              <w:rPr>
                <w:noProof/>
                <w:webHidden/>
              </w:rPr>
              <w:t>6</w:t>
            </w:r>
            <w:r>
              <w:rPr>
                <w:noProof/>
                <w:webHidden/>
              </w:rPr>
              <w:fldChar w:fldCharType="end"/>
            </w:r>
          </w:hyperlink>
        </w:p>
        <w:p w14:paraId="63926CCD" w14:textId="04F6317B" w:rsidR="00334D31" w:rsidRDefault="00334D31">
          <w:pPr>
            <w:pStyle w:val="TOC2"/>
            <w:tabs>
              <w:tab w:val="right" w:leader="dot" w:pos="9350"/>
            </w:tabs>
            <w:rPr>
              <w:noProof/>
            </w:rPr>
          </w:pPr>
          <w:hyperlink w:anchor="_Toc241591526" w:history="1">
            <w:r w:rsidRPr="0040191A">
              <w:rPr>
                <w:rStyle w:val="Hyperlink"/>
                <w:noProof/>
              </w:rPr>
              <w:t>1.4 Program Execution Benchmark</w:t>
            </w:r>
            <w:r>
              <w:rPr>
                <w:noProof/>
                <w:webHidden/>
              </w:rPr>
              <w:tab/>
            </w:r>
            <w:r>
              <w:rPr>
                <w:noProof/>
                <w:webHidden/>
              </w:rPr>
              <w:fldChar w:fldCharType="begin"/>
            </w:r>
            <w:r>
              <w:rPr>
                <w:noProof/>
                <w:webHidden/>
              </w:rPr>
              <w:instrText xml:space="preserve"> PAGEREF _Toc241591526 \h </w:instrText>
            </w:r>
            <w:r>
              <w:rPr>
                <w:noProof/>
                <w:webHidden/>
              </w:rPr>
            </w:r>
            <w:r>
              <w:rPr>
                <w:noProof/>
                <w:webHidden/>
              </w:rPr>
              <w:fldChar w:fldCharType="separate"/>
            </w:r>
            <w:r>
              <w:rPr>
                <w:noProof/>
                <w:webHidden/>
              </w:rPr>
              <w:t>6</w:t>
            </w:r>
            <w:r>
              <w:rPr>
                <w:noProof/>
                <w:webHidden/>
              </w:rPr>
              <w:fldChar w:fldCharType="end"/>
            </w:r>
          </w:hyperlink>
        </w:p>
        <w:p w14:paraId="0364DCDA" w14:textId="487DC55F" w:rsidR="00334D31" w:rsidRDefault="00334D31">
          <w:pPr>
            <w:pStyle w:val="TOC2"/>
            <w:tabs>
              <w:tab w:val="right" w:leader="dot" w:pos="9350"/>
            </w:tabs>
            <w:rPr>
              <w:noProof/>
            </w:rPr>
          </w:pPr>
          <w:hyperlink w:anchor="_Toc241591527" w:history="1">
            <w:r w:rsidRPr="0040191A">
              <w:rPr>
                <w:rStyle w:val="Hyperlink"/>
                <w:noProof/>
              </w:rPr>
              <w:t>1.5 Affordability Benchmark</w:t>
            </w:r>
            <w:r>
              <w:rPr>
                <w:noProof/>
                <w:webHidden/>
              </w:rPr>
              <w:tab/>
            </w:r>
            <w:r>
              <w:rPr>
                <w:noProof/>
                <w:webHidden/>
              </w:rPr>
              <w:fldChar w:fldCharType="begin"/>
            </w:r>
            <w:r>
              <w:rPr>
                <w:noProof/>
                <w:webHidden/>
              </w:rPr>
              <w:instrText xml:space="preserve"> PAGEREF _Toc241591527 \h </w:instrText>
            </w:r>
            <w:r>
              <w:rPr>
                <w:noProof/>
                <w:webHidden/>
              </w:rPr>
            </w:r>
            <w:r>
              <w:rPr>
                <w:noProof/>
                <w:webHidden/>
              </w:rPr>
              <w:fldChar w:fldCharType="separate"/>
            </w:r>
            <w:r>
              <w:rPr>
                <w:noProof/>
                <w:webHidden/>
              </w:rPr>
              <w:t>7</w:t>
            </w:r>
            <w:r>
              <w:rPr>
                <w:noProof/>
                <w:webHidden/>
              </w:rPr>
              <w:fldChar w:fldCharType="end"/>
            </w:r>
          </w:hyperlink>
        </w:p>
        <w:p w14:paraId="4F794BA5" w14:textId="39E473AD" w:rsidR="00334D31" w:rsidRDefault="00334D31">
          <w:pPr>
            <w:pStyle w:val="TOC2"/>
            <w:tabs>
              <w:tab w:val="right" w:leader="dot" w:pos="9350"/>
            </w:tabs>
            <w:rPr>
              <w:noProof/>
            </w:rPr>
          </w:pPr>
          <w:hyperlink w:anchor="_Toc241591528" w:history="1">
            <w:r w:rsidRPr="0040191A">
              <w:rPr>
                <w:rStyle w:val="Hyperlink"/>
                <w:noProof/>
              </w:rPr>
              <w:t>1.6 The Three-Number Summary</w:t>
            </w:r>
            <w:r>
              <w:rPr>
                <w:noProof/>
                <w:webHidden/>
              </w:rPr>
              <w:tab/>
            </w:r>
            <w:r>
              <w:rPr>
                <w:noProof/>
                <w:webHidden/>
              </w:rPr>
              <w:fldChar w:fldCharType="begin"/>
            </w:r>
            <w:r>
              <w:rPr>
                <w:noProof/>
                <w:webHidden/>
              </w:rPr>
              <w:instrText xml:space="preserve"> PAGEREF _Toc241591528 \h </w:instrText>
            </w:r>
            <w:r>
              <w:rPr>
                <w:noProof/>
                <w:webHidden/>
              </w:rPr>
            </w:r>
            <w:r>
              <w:rPr>
                <w:noProof/>
                <w:webHidden/>
              </w:rPr>
              <w:fldChar w:fldCharType="separate"/>
            </w:r>
            <w:r>
              <w:rPr>
                <w:noProof/>
                <w:webHidden/>
              </w:rPr>
              <w:t>8</w:t>
            </w:r>
            <w:r>
              <w:rPr>
                <w:noProof/>
                <w:webHidden/>
              </w:rPr>
              <w:fldChar w:fldCharType="end"/>
            </w:r>
          </w:hyperlink>
        </w:p>
        <w:p w14:paraId="7B57D879" w14:textId="25679948" w:rsidR="00334D31" w:rsidRPr="00334D31" w:rsidRDefault="00334D31">
          <w:pPr>
            <w:pStyle w:val="TOC1"/>
            <w:tabs>
              <w:tab w:val="right" w:leader="dot" w:pos="9350"/>
            </w:tabs>
            <w:rPr>
              <w:rFonts w:eastAsiaTheme="minorEastAsia"/>
              <w:noProof/>
              <w:kern w:val="2"/>
            </w:rPr>
          </w:pPr>
          <w:hyperlink w:anchor="_Toc241591529" w:history="1">
            <w:r w:rsidRPr="0040191A">
              <w:rPr>
                <w:rStyle w:val="Hyperlink"/>
                <w:noProof/>
              </w:rPr>
              <w:t>Section 2. Financial Fact Check of the Letter</w:t>
            </w:r>
            <w:r>
              <w:rPr>
                <w:noProof/>
                <w:webHidden/>
              </w:rPr>
              <w:tab/>
            </w:r>
            <w:r>
              <w:rPr>
                <w:noProof/>
                <w:webHidden/>
              </w:rPr>
              <w:fldChar w:fldCharType="begin"/>
            </w:r>
            <w:r>
              <w:rPr>
                <w:noProof/>
                <w:webHidden/>
              </w:rPr>
              <w:instrText xml:space="preserve"> PAGEREF _Toc241591529 \h </w:instrText>
            </w:r>
            <w:r>
              <w:rPr>
                <w:noProof/>
                <w:webHidden/>
              </w:rPr>
            </w:r>
            <w:r>
              <w:rPr>
                <w:noProof/>
                <w:webHidden/>
              </w:rPr>
              <w:fldChar w:fldCharType="separate"/>
            </w:r>
            <w:r>
              <w:rPr>
                <w:noProof/>
                <w:webHidden/>
              </w:rPr>
              <w:t>8</w:t>
            </w:r>
            <w:r>
              <w:rPr>
                <w:noProof/>
                <w:webHidden/>
              </w:rPr>
              <w:fldChar w:fldCharType="end"/>
            </w:r>
          </w:hyperlink>
        </w:p>
        <w:p w14:paraId="74188A7F" w14:textId="73F17B35" w:rsidR="00334D31" w:rsidRPr="00334D31" w:rsidRDefault="00334D31">
          <w:pPr>
            <w:pStyle w:val="TOC1"/>
            <w:tabs>
              <w:tab w:val="right" w:leader="dot" w:pos="9350"/>
            </w:tabs>
            <w:rPr>
              <w:rFonts w:eastAsiaTheme="minorEastAsia"/>
              <w:noProof/>
              <w:kern w:val="2"/>
            </w:rPr>
          </w:pPr>
          <w:hyperlink w:anchor="_Toc241591530" w:history="1">
            <w:r w:rsidRPr="0040191A">
              <w:rPr>
                <w:rStyle w:val="Hyperlink"/>
                <w:noProof/>
              </w:rPr>
              <w:t>Section 3. Genesis of the Program</w:t>
            </w:r>
            <w:r>
              <w:rPr>
                <w:noProof/>
                <w:webHidden/>
              </w:rPr>
              <w:tab/>
            </w:r>
            <w:r>
              <w:rPr>
                <w:noProof/>
                <w:webHidden/>
              </w:rPr>
              <w:fldChar w:fldCharType="begin"/>
            </w:r>
            <w:r>
              <w:rPr>
                <w:noProof/>
                <w:webHidden/>
              </w:rPr>
              <w:instrText xml:space="preserve"> PAGEREF _Toc241591530 \h </w:instrText>
            </w:r>
            <w:r>
              <w:rPr>
                <w:noProof/>
                <w:webHidden/>
              </w:rPr>
            </w:r>
            <w:r>
              <w:rPr>
                <w:noProof/>
                <w:webHidden/>
              </w:rPr>
              <w:fldChar w:fldCharType="separate"/>
            </w:r>
            <w:r>
              <w:rPr>
                <w:noProof/>
                <w:webHidden/>
              </w:rPr>
              <w:t>10</w:t>
            </w:r>
            <w:r>
              <w:rPr>
                <w:noProof/>
                <w:webHidden/>
              </w:rPr>
              <w:fldChar w:fldCharType="end"/>
            </w:r>
          </w:hyperlink>
        </w:p>
        <w:p w14:paraId="6C8623BE" w14:textId="1F11667C" w:rsidR="00334D31" w:rsidRPr="00334D31" w:rsidRDefault="00334D31">
          <w:pPr>
            <w:pStyle w:val="TOC1"/>
            <w:tabs>
              <w:tab w:val="right" w:leader="dot" w:pos="9350"/>
            </w:tabs>
            <w:rPr>
              <w:rFonts w:eastAsiaTheme="minorEastAsia"/>
              <w:noProof/>
              <w:kern w:val="2"/>
            </w:rPr>
          </w:pPr>
          <w:hyperlink w:anchor="_Toc241591531" w:history="1">
            <w:r w:rsidRPr="0040191A">
              <w:rPr>
                <w:rStyle w:val="Hyperlink"/>
                <w:noProof/>
              </w:rPr>
              <w:t>Section 4. Purpose, Expectations, and Fallout</w:t>
            </w:r>
            <w:r>
              <w:rPr>
                <w:noProof/>
                <w:webHidden/>
              </w:rPr>
              <w:tab/>
            </w:r>
            <w:r>
              <w:rPr>
                <w:noProof/>
                <w:webHidden/>
              </w:rPr>
              <w:fldChar w:fldCharType="begin"/>
            </w:r>
            <w:r>
              <w:rPr>
                <w:noProof/>
                <w:webHidden/>
              </w:rPr>
              <w:instrText xml:space="preserve"> PAGEREF _Toc241591531 \h </w:instrText>
            </w:r>
            <w:r>
              <w:rPr>
                <w:noProof/>
                <w:webHidden/>
              </w:rPr>
            </w:r>
            <w:r>
              <w:rPr>
                <w:noProof/>
                <w:webHidden/>
              </w:rPr>
              <w:fldChar w:fldCharType="separate"/>
            </w:r>
            <w:r>
              <w:rPr>
                <w:noProof/>
                <w:webHidden/>
              </w:rPr>
              <w:t>11</w:t>
            </w:r>
            <w:r>
              <w:rPr>
                <w:noProof/>
                <w:webHidden/>
              </w:rPr>
              <w:fldChar w:fldCharType="end"/>
            </w:r>
          </w:hyperlink>
        </w:p>
        <w:p w14:paraId="711628BB" w14:textId="709E0A6D" w:rsidR="00334D31" w:rsidRPr="00334D31" w:rsidRDefault="00334D31">
          <w:pPr>
            <w:pStyle w:val="TOC1"/>
            <w:tabs>
              <w:tab w:val="right" w:leader="dot" w:pos="9350"/>
            </w:tabs>
            <w:rPr>
              <w:rFonts w:eastAsiaTheme="minorEastAsia"/>
              <w:noProof/>
              <w:kern w:val="2"/>
            </w:rPr>
          </w:pPr>
          <w:hyperlink w:anchor="_Toc241591532" w:history="1">
            <w:r w:rsidRPr="0040191A">
              <w:rPr>
                <w:rStyle w:val="Hyperlink"/>
                <w:noProof/>
              </w:rPr>
              <w:t>Section 5. ICC History and Regulatory Outcomes</w:t>
            </w:r>
            <w:r>
              <w:rPr>
                <w:noProof/>
                <w:webHidden/>
              </w:rPr>
              <w:tab/>
            </w:r>
            <w:r>
              <w:rPr>
                <w:noProof/>
                <w:webHidden/>
              </w:rPr>
              <w:fldChar w:fldCharType="begin"/>
            </w:r>
            <w:r>
              <w:rPr>
                <w:noProof/>
                <w:webHidden/>
              </w:rPr>
              <w:instrText xml:space="preserve"> PAGEREF _Toc241591532 \h </w:instrText>
            </w:r>
            <w:r>
              <w:rPr>
                <w:noProof/>
                <w:webHidden/>
              </w:rPr>
            </w:r>
            <w:r>
              <w:rPr>
                <w:noProof/>
                <w:webHidden/>
              </w:rPr>
              <w:fldChar w:fldCharType="separate"/>
            </w:r>
            <w:r>
              <w:rPr>
                <w:noProof/>
                <w:webHidden/>
              </w:rPr>
              <w:t>12</w:t>
            </w:r>
            <w:r>
              <w:rPr>
                <w:noProof/>
                <w:webHidden/>
              </w:rPr>
              <w:fldChar w:fldCharType="end"/>
            </w:r>
          </w:hyperlink>
        </w:p>
        <w:p w14:paraId="7A257FBF" w14:textId="5F22C2A2" w:rsidR="00334D31" w:rsidRPr="00334D31" w:rsidRDefault="00334D31">
          <w:pPr>
            <w:pStyle w:val="TOC1"/>
            <w:tabs>
              <w:tab w:val="right" w:leader="dot" w:pos="9350"/>
            </w:tabs>
            <w:rPr>
              <w:rFonts w:eastAsiaTheme="minorEastAsia"/>
              <w:noProof/>
              <w:kern w:val="2"/>
            </w:rPr>
          </w:pPr>
          <w:hyperlink w:anchor="_Toc241591533" w:history="1">
            <w:r w:rsidRPr="0040191A">
              <w:rPr>
                <w:rStyle w:val="Hyperlink"/>
                <w:noProof/>
              </w:rPr>
              <w:t>Section 6. How the Utility Makes Money</w:t>
            </w:r>
            <w:r>
              <w:rPr>
                <w:noProof/>
                <w:webHidden/>
              </w:rPr>
              <w:tab/>
            </w:r>
            <w:r>
              <w:rPr>
                <w:noProof/>
                <w:webHidden/>
              </w:rPr>
              <w:fldChar w:fldCharType="begin"/>
            </w:r>
            <w:r>
              <w:rPr>
                <w:noProof/>
                <w:webHidden/>
              </w:rPr>
              <w:instrText xml:space="preserve"> PAGEREF _Toc241591533 \h </w:instrText>
            </w:r>
            <w:r>
              <w:rPr>
                <w:noProof/>
                <w:webHidden/>
              </w:rPr>
            </w:r>
            <w:r>
              <w:rPr>
                <w:noProof/>
                <w:webHidden/>
              </w:rPr>
              <w:fldChar w:fldCharType="separate"/>
            </w:r>
            <w:r>
              <w:rPr>
                <w:noProof/>
                <w:webHidden/>
              </w:rPr>
              <w:t>14</w:t>
            </w:r>
            <w:r>
              <w:rPr>
                <w:noProof/>
                <w:webHidden/>
              </w:rPr>
              <w:fldChar w:fldCharType="end"/>
            </w:r>
          </w:hyperlink>
        </w:p>
        <w:p w14:paraId="0BA2BF4C" w14:textId="140AC86C" w:rsidR="00334D31" w:rsidRPr="00334D31" w:rsidRDefault="00334D31">
          <w:pPr>
            <w:pStyle w:val="TOC1"/>
            <w:tabs>
              <w:tab w:val="right" w:leader="dot" w:pos="9350"/>
            </w:tabs>
            <w:rPr>
              <w:rFonts w:eastAsiaTheme="minorEastAsia"/>
              <w:noProof/>
              <w:kern w:val="2"/>
            </w:rPr>
          </w:pPr>
          <w:hyperlink w:anchor="_Toc241591534" w:history="1">
            <w:r w:rsidRPr="0040191A">
              <w:rPr>
                <w:rStyle w:val="Hyperlink"/>
                <w:noProof/>
              </w:rPr>
              <w:t>Section 7. Press and Narrative</w:t>
            </w:r>
            <w:r>
              <w:rPr>
                <w:noProof/>
                <w:webHidden/>
              </w:rPr>
              <w:tab/>
            </w:r>
            <w:r>
              <w:rPr>
                <w:noProof/>
                <w:webHidden/>
              </w:rPr>
              <w:fldChar w:fldCharType="begin"/>
            </w:r>
            <w:r>
              <w:rPr>
                <w:noProof/>
                <w:webHidden/>
              </w:rPr>
              <w:instrText xml:space="preserve"> PAGEREF _Toc241591534 \h </w:instrText>
            </w:r>
            <w:r>
              <w:rPr>
                <w:noProof/>
                <w:webHidden/>
              </w:rPr>
            </w:r>
            <w:r>
              <w:rPr>
                <w:noProof/>
                <w:webHidden/>
              </w:rPr>
              <w:fldChar w:fldCharType="separate"/>
            </w:r>
            <w:r>
              <w:rPr>
                <w:noProof/>
                <w:webHidden/>
              </w:rPr>
              <w:t>15</w:t>
            </w:r>
            <w:r>
              <w:rPr>
                <w:noProof/>
                <w:webHidden/>
              </w:rPr>
              <w:fldChar w:fldCharType="end"/>
            </w:r>
          </w:hyperlink>
        </w:p>
        <w:p w14:paraId="7D91724A" w14:textId="2C564B7E" w:rsidR="00334D31" w:rsidRPr="00334D31" w:rsidRDefault="00334D31">
          <w:pPr>
            <w:pStyle w:val="TOC1"/>
            <w:tabs>
              <w:tab w:val="right" w:leader="dot" w:pos="9350"/>
            </w:tabs>
            <w:rPr>
              <w:rFonts w:eastAsiaTheme="minorEastAsia"/>
              <w:noProof/>
              <w:kern w:val="2"/>
            </w:rPr>
          </w:pPr>
          <w:hyperlink w:anchor="_Toc241591535" w:history="1">
            <w:r w:rsidRPr="0040191A">
              <w:rPr>
                <w:rStyle w:val="Hyperlink"/>
                <w:noProof/>
              </w:rPr>
              <w:t>Section 8. The Signers</w:t>
            </w:r>
            <w:r>
              <w:rPr>
                <w:noProof/>
                <w:webHidden/>
              </w:rPr>
              <w:tab/>
            </w:r>
            <w:r>
              <w:rPr>
                <w:noProof/>
                <w:webHidden/>
              </w:rPr>
              <w:fldChar w:fldCharType="begin"/>
            </w:r>
            <w:r>
              <w:rPr>
                <w:noProof/>
                <w:webHidden/>
              </w:rPr>
              <w:instrText xml:space="preserve"> PAGEREF _Toc241591535 \h </w:instrText>
            </w:r>
            <w:r>
              <w:rPr>
                <w:noProof/>
                <w:webHidden/>
              </w:rPr>
            </w:r>
            <w:r>
              <w:rPr>
                <w:noProof/>
                <w:webHidden/>
              </w:rPr>
              <w:fldChar w:fldCharType="separate"/>
            </w:r>
            <w:r>
              <w:rPr>
                <w:noProof/>
                <w:webHidden/>
              </w:rPr>
              <w:t>16</w:t>
            </w:r>
            <w:r>
              <w:rPr>
                <w:noProof/>
                <w:webHidden/>
              </w:rPr>
              <w:fldChar w:fldCharType="end"/>
            </w:r>
          </w:hyperlink>
        </w:p>
        <w:p w14:paraId="4FDA7D1D" w14:textId="22DB49BF" w:rsidR="00334D31" w:rsidRPr="00334D31" w:rsidRDefault="00334D31">
          <w:pPr>
            <w:pStyle w:val="TOC1"/>
            <w:tabs>
              <w:tab w:val="right" w:leader="dot" w:pos="9350"/>
            </w:tabs>
            <w:rPr>
              <w:rFonts w:eastAsiaTheme="minorEastAsia"/>
              <w:noProof/>
              <w:kern w:val="2"/>
            </w:rPr>
          </w:pPr>
          <w:hyperlink w:anchor="_Toc241591536" w:history="1">
            <w:r w:rsidRPr="0040191A">
              <w:rPr>
                <w:rStyle w:val="Hyperlink"/>
                <w:noProof/>
              </w:rPr>
              <w:t>Section 9. What This Means for Ameren Illinois</w:t>
            </w:r>
            <w:r>
              <w:rPr>
                <w:noProof/>
                <w:webHidden/>
              </w:rPr>
              <w:tab/>
            </w:r>
            <w:r>
              <w:rPr>
                <w:noProof/>
                <w:webHidden/>
              </w:rPr>
              <w:fldChar w:fldCharType="begin"/>
            </w:r>
            <w:r>
              <w:rPr>
                <w:noProof/>
                <w:webHidden/>
              </w:rPr>
              <w:instrText xml:space="preserve"> PAGEREF _Toc241591536 \h </w:instrText>
            </w:r>
            <w:r>
              <w:rPr>
                <w:noProof/>
                <w:webHidden/>
              </w:rPr>
            </w:r>
            <w:r>
              <w:rPr>
                <w:noProof/>
                <w:webHidden/>
              </w:rPr>
              <w:fldChar w:fldCharType="separate"/>
            </w:r>
            <w:r>
              <w:rPr>
                <w:noProof/>
                <w:webHidden/>
              </w:rPr>
              <w:t>16</w:t>
            </w:r>
            <w:r>
              <w:rPr>
                <w:noProof/>
                <w:webHidden/>
              </w:rPr>
              <w:fldChar w:fldCharType="end"/>
            </w:r>
          </w:hyperlink>
        </w:p>
        <w:p w14:paraId="0BFEA1AC" w14:textId="59DA9800" w:rsidR="00334D31" w:rsidRPr="00334D31" w:rsidRDefault="00334D31">
          <w:pPr>
            <w:pStyle w:val="TOC1"/>
            <w:tabs>
              <w:tab w:val="right" w:leader="dot" w:pos="9350"/>
            </w:tabs>
            <w:rPr>
              <w:rFonts w:eastAsiaTheme="minorEastAsia"/>
              <w:noProof/>
              <w:kern w:val="2"/>
            </w:rPr>
          </w:pPr>
          <w:hyperlink w:anchor="_Toc241591537" w:history="1">
            <w:r w:rsidRPr="0040191A">
              <w:rPr>
                <w:rStyle w:val="Hyperlink"/>
                <w:noProof/>
              </w:rPr>
              <w:t>Section 10. Political Implication Hypothesis and Forecast</w:t>
            </w:r>
            <w:r>
              <w:rPr>
                <w:noProof/>
                <w:webHidden/>
              </w:rPr>
              <w:tab/>
            </w:r>
            <w:r>
              <w:rPr>
                <w:noProof/>
                <w:webHidden/>
              </w:rPr>
              <w:fldChar w:fldCharType="begin"/>
            </w:r>
            <w:r>
              <w:rPr>
                <w:noProof/>
                <w:webHidden/>
              </w:rPr>
              <w:instrText xml:space="preserve"> PAGEREF _Toc241591537 \h </w:instrText>
            </w:r>
            <w:r>
              <w:rPr>
                <w:noProof/>
                <w:webHidden/>
              </w:rPr>
            </w:r>
            <w:r>
              <w:rPr>
                <w:noProof/>
                <w:webHidden/>
              </w:rPr>
              <w:fldChar w:fldCharType="separate"/>
            </w:r>
            <w:r>
              <w:rPr>
                <w:noProof/>
                <w:webHidden/>
              </w:rPr>
              <w:t>18</w:t>
            </w:r>
            <w:r>
              <w:rPr>
                <w:noProof/>
                <w:webHidden/>
              </w:rPr>
              <w:fldChar w:fldCharType="end"/>
            </w:r>
          </w:hyperlink>
        </w:p>
        <w:p w14:paraId="428CF8AF" w14:textId="31B88ACF" w:rsidR="00334D31" w:rsidRPr="00334D31" w:rsidRDefault="00334D31">
          <w:pPr>
            <w:pStyle w:val="TOC1"/>
            <w:tabs>
              <w:tab w:val="right" w:leader="dot" w:pos="9350"/>
            </w:tabs>
            <w:rPr>
              <w:rFonts w:eastAsiaTheme="minorEastAsia"/>
              <w:noProof/>
              <w:kern w:val="2"/>
            </w:rPr>
          </w:pPr>
          <w:hyperlink w:anchor="_Toc241591538" w:history="1">
            <w:r w:rsidRPr="0040191A">
              <w:rPr>
                <w:rStyle w:val="Hyperlink"/>
                <w:noProof/>
              </w:rPr>
              <w:t>Section 11. Affordability Across Illinois</w:t>
            </w:r>
            <w:r>
              <w:rPr>
                <w:noProof/>
                <w:webHidden/>
              </w:rPr>
              <w:tab/>
            </w:r>
            <w:r>
              <w:rPr>
                <w:noProof/>
                <w:webHidden/>
              </w:rPr>
              <w:fldChar w:fldCharType="begin"/>
            </w:r>
            <w:r>
              <w:rPr>
                <w:noProof/>
                <w:webHidden/>
              </w:rPr>
              <w:instrText xml:space="preserve"> PAGEREF _Toc241591538 \h </w:instrText>
            </w:r>
            <w:r>
              <w:rPr>
                <w:noProof/>
                <w:webHidden/>
              </w:rPr>
            </w:r>
            <w:r>
              <w:rPr>
                <w:noProof/>
                <w:webHidden/>
              </w:rPr>
              <w:fldChar w:fldCharType="separate"/>
            </w:r>
            <w:r>
              <w:rPr>
                <w:noProof/>
                <w:webHidden/>
              </w:rPr>
              <w:t>19</w:t>
            </w:r>
            <w:r>
              <w:rPr>
                <w:noProof/>
                <w:webHidden/>
              </w:rPr>
              <w:fldChar w:fldCharType="end"/>
            </w:r>
          </w:hyperlink>
        </w:p>
        <w:p w14:paraId="352D2A11" w14:textId="37CB11BE" w:rsidR="00334D31" w:rsidRPr="00334D31" w:rsidRDefault="00334D31">
          <w:pPr>
            <w:pStyle w:val="TOC1"/>
            <w:tabs>
              <w:tab w:val="right" w:leader="dot" w:pos="9350"/>
            </w:tabs>
            <w:rPr>
              <w:rFonts w:eastAsiaTheme="minorEastAsia"/>
              <w:noProof/>
              <w:kern w:val="2"/>
            </w:rPr>
          </w:pPr>
          <w:hyperlink w:anchor="_Toc241591539" w:history="1">
            <w:r w:rsidRPr="0040191A">
              <w:rPr>
                <w:rStyle w:val="Hyperlink"/>
                <w:noProof/>
              </w:rPr>
              <w:t>Section 12. Self-Check Questions</w:t>
            </w:r>
            <w:r>
              <w:rPr>
                <w:noProof/>
                <w:webHidden/>
              </w:rPr>
              <w:tab/>
            </w:r>
            <w:r>
              <w:rPr>
                <w:noProof/>
                <w:webHidden/>
              </w:rPr>
              <w:fldChar w:fldCharType="begin"/>
            </w:r>
            <w:r>
              <w:rPr>
                <w:noProof/>
                <w:webHidden/>
              </w:rPr>
              <w:instrText xml:space="preserve"> PAGEREF _Toc241591539 \h </w:instrText>
            </w:r>
            <w:r>
              <w:rPr>
                <w:noProof/>
                <w:webHidden/>
              </w:rPr>
            </w:r>
            <w:r>
              <w:rPr>
                <w:noProof/>
                <w:webHidden/>
              </w:rPr>
              <w:fldChar w:fldCharType="separate"/>
            </w:r>
            <w:r>
              <w:rPr>
                <w:noProof/>
                <w:webHidden/>
              </w:rPr>
              <w:t>20</w:t>
            </w:r>
            <w:r>
              <w:rPr>
                <w:noProof/>
                <w:webHidden/>
              </w:rPr>
              <w:fldChar w:fldCharType="end"/>
            </w:r>
          </w:hyperlink>
        </w:p>
        <w:p w14:paraId="20B39582" w14:textId="0107393E" w:rsidR="00334D31" w:rsidRPr="00334D31" w:rsidRDefault="00334D31">
          <w:pPr>
            <w:pStyle w:val="TOC1"/>
            <w:tabs>
              <w:tab w:val="right" w:leader="dot" w:pos="9350"/>
            </w:tabs>
            <w:rPr>
              <w:rFonts w:eastAsiaTheme="minorEastAsia"/>
              <w:noProof/>
              <w:kern w:val="2"/>
            </w:rPr>
          </w:pPr>
          <w:hyperlink w:anchor="_Toc241591540" w:history="1">
            <w:r w:rsidRPr="0040191A">
              <w:rPr>
                <w:rStyle w:val="Hyperlink"/>
                <w:noProof/>
              </w:rPr>
              <w:t>Section 13. Glossary</w:t>
            </w:r>
            <w:r>
              <w:rPr>
                <w:noProof/>
                <w:webHidden/>
              </w:rPr>
              <w:tab/>
            </w:r>
            <w:r>
              <w:rPr>
                <w:noProof/>
                <w:webHidden/>
              </w:rPr>
              <w:fldChar w:fldCharType="begin"/>
            </w:r>
            <w:r>
              <w:rPr>
                <w:noProof/>
                <w:webHidden/>
              </w:rPr>
              <w:instrText xml:space="preserve"> PAGEREF _Toc241591540 \h </w:instrText>
            </w:r>
            <w:r>
              <w:rPr>
                <w:noProof/>
                <w:webHidden/>
              </w:rPr>
            </w:r>
            <w:r>
              <w:rPr>
                <w:noProof/>
                <w:webHidden/>
              </w:rPr>
              <w:fldChar w:fldCharType="separate"/>
            </w:r>
            <w:r>
              <w:rPr>
                <w:noProof/>
                <w:webHidden/>
              </w:rPr>
              <w:t>21</w:t>
            </w:r>
            <w:r>
              <w:rPr>
                <w:noProof/>
                <w:webHidden/>
              </w:rPr>
              <w:fldChar w:fldCharType="end"/>
            </w:r>
          </w:hyperlink>
        </w:p>
        <w:p w14:paraId="247B7312" w14:textId="5F42A6E6" w:rsidR="00334D31" w:rsidRPr="00334D31" w:rsidRDefault="00334D31">
          <w:pPr>
            <w:pStyle w:val="TOC1"/>
            <w:tabs>
              <w:tab w:val="right" w:leader="dot" w:pos="9350"/>
            </w:tabs>
            <w:rPr>
              <w:rFonts w:eastAsiaTheme="minorEastAsia"/>
              <w:noProof/>
              <w:kern w:val="2"/>
            </w:rPr>
          </w:pPr>
          <w:hyperlink w:anchor="_Toc241591541" w:history="1">
            <w:r w:rsidRPr="0040191A">
              <w:rPr>
                <w:rStyle w:val="Hyperlink"/>
                <w:noProof/>
              </w:rPr>
              <w:t>Section 14. Spaced Review Schedule</w:t>
            </w:r>
            <w:r>
              <w:rPr>
                <w:noProof/>
                <w:webHidden/>
              </w:rPr>
              <w:tab/>
            </w:r>
            <w:r>
              <w:rPr>
                <w:noProof/>
                <w:webHidden/>
              </w:rPr>
              <w:fldChar w:fldCharType="begin"/>
            </w:r>
            <w:r>
              <w:rPr>
                <w:noProof/>
                <w:webHidden/>
              </w:rPr>
              <w:instrText xml:space="preserve"> PAGEREF _Toc241591541 \h </w:instrText>
            </w:r>
            <w:r>
              <w:rPr>
                <w:noProof/>
                <w:webHidden/>
              </w:rPr>
            </w:r>
            <w:r>
              <w:rPr>
                <w:noProof/>
                <w:webHidden/>
              </w:rPr>
              <w:fldChar w:fldCharType="separate"/>
            </w:r>
            <w:r>
              <w:rPr>
                <w:noProof/>
                <w:webHidden/>
              </w:rPr>
              <w:t>23</w:t>
            </w:r>
            <w:r>
              <w:rPr>
                <w:noProof/>
                <w:webHidden/>
              </w:rPr>
              <w:fldChar w:fldCharType="end"/>
            </w:r>
          </w:hyperlink>
        </w:p>
        <w:p w14:paraId="2EFA4106" w14:textId="5BCE807B" w:rsidR="00334D31" w:rsidRPr="00334D31" w:rsidRDefault="00334D31">
          <w:pPr>
            <w:pStyle w:val="TOC1"/>
            <w:tabs>
              <w:tab w:val="right" w:leader="dot" w:pos="9350"/>
            </w:tabs>
            <w:rPr>
              <w:rFonts w:eastAsiaTheme="minorEastAsia"/>
              <w:noProof/>
              <w:kern w:val="2"/>
            </w:rPr>
          </w:pPr>
          <w:hyperlink w:anchor="_Toc241591542" w:history="1">
            <w:r w:rsidRPr="0040191A">
              <w:rPr>
                <w:rStyle w:val="Hyperlink"/>
                <w:noProof/>
              </w:rPr>
              <w:t>Section 15. Closing Perspective</w:t>
            </w:r>
            <w:r>
              <w:rPr>
                <w:noProof/>
                <w:webHidden/>
              </w:rPr>
              <w:tab/>
            </w:r>
            <w:r>
              <w:rPr>
                <w:noProof/>
                <w:webHidden/>
              </w:rPr>
              <w:fldChar w:fldCharType="begin"/>
            </w:r>
            <w:r>
              <w:rPr>
                <w:noProof/>
                <w:webHidden/>
              </w:rPr>
              <w:instrText xml:space="preserve"> PAGEREF _Toc241591542 \h </w:instrText>
            </w:r>
            <w:r>
              <w:rPr>
                <w:noProof/>
                <w:webHidden/>
              </w:rPr>
            </w:r>
            <w:r>
              <w:rPr>
                <w:noProof/>
                <w:webHidden/>
              </w:rPr>
              <w:fldChar w:fldCharType="separate"/>
            </w:r>
            <w:r>
              <w:rPr>
                <w:noProof/>
                <w:webHidden/>
              </w:rPr>
              <w:t>23</w:t>
            </w:r>
            <w:r>
              <w:rPr>
                <w:noProof/>
                <w:webHidden/>
              </w:rPr>
              <w:fldChar w:fldCharType="end"/>
            </w:r>
          </w:hyperlink>
        </w:p>
        <w:p w14:paraId="519D4198" w14:textId="25B9385E" w:rsidR="00334D31" w:rsidRPr="00334D31" w:rsidRDefault="00334D31">
          <w:pPr>
            <w:pStyle w:val="TOC1"/>
            <w:tabs>
              <w:tab w:val="right" w:leader="dot" w:pos="9350"/>
            </w:tabs>
            <w:rPr>
              <w:rFonts w:eastAsiaTheme="minorEastAsia"/>
              <w:noProof/>
              <w:kern w:val="2"/>
            </w:rPr>
          </w:pPr>
          <w:hyperlink w:anchor="_Toc241591543" w:history="1">
            <w:r w:rsidRPr="0040191A">
              <w:rPr>
                <w:rStyle w:val="Hyperlink"/>
                <w:noProof/>
              </w:rPr>
              <w:t>Sources</w:t>
            </w:r>
            <w:r>
              <w:rPr>
                <w:noProof/>
                <w:webHidden/>
              </w:rPr>
              <w:tab/>
            </w:r>
            <w:r>
              <w:rPr>
                <w:noProof/>
                <w:webHidden/>
              </w:rPr>
              <w:fldChar w:fldCharType="begin"/>
            </w:r>
            <w:r>
              <w:rPr>
                <w:noProof/>
                <w:webHidden/>
              </w:rPr>
              <w:instrText xml:space="preserve"> PAGEREF _Toc241591543 \h </w:instrText>
            </w:r>
            <w:r>
              <w:rPr>
                <w:noProof/>
                <w:webHidden/>
              </w:rPr>
            </w:r>
            <w:r>
              <w:rPr>
                <w:noProof/>
                <w:webHidden/>
              </w:rPr>
              <w:fldChar w:fldCharType="separate"/>
            </w:r>
            <w:r>
              <w:rPr>
                <w:noProof/>
                <w:webHidden/>
              </w:rPr>
              <w:t>24</w:t>
            </w:r>
            <w:r>
              <w:rPr>
                <w:noProof/>
                <w:webHidden/>
              </w:rPr>
              <w:fldChar w:fldCharType="end"/>
            </w:r>
          </w:hyperlink>
        </w:p>
        <w:p w14:paraId="046B357C" w14:textId="4DB43D7F" w:rsidR="00334D31" w:rsidRDefault="00334D31">
          <w:r>
            <w:rPr>
              <w:b/>
              <w:bCs/>
              <w:noProof/>
            </w:rPr>
            <w:fldChar w:fldCharType="end"/>
          </w:r>
        </w:p>
      </w:sdtContent>
    </w:sdt>
    <w:p w14:paraId="0F5A1FD5" w14:textId="77777777" w:rsidR="002400E4" w:rsidRDefault="003D2442">
      <w:pPr>
        <w:pStyle w:val="Heading1"/>
      </w:pPr>
      <w:bookmarkStart w:id="2" w:name="_Toc241591518"/>
      <w:r>
        <w:t>How to Use This Document</w:t>
      </w:r>
      <w:bookmarkEnd w:id="0"/>
      <w:bookmarkEnd w:id="2"/>
    </w:p>
    <w:p w14:paraId="155F6D88" w14:textId="77777777" w:rsidR="002400E4" w:rsidRDefault="00B81FC2">
      <w:pPr>
        <w:pStyle w:val="FirstParagraph"/>
      </w:pPr>
      <w:r w:rsidRPr="00B81FC2">
        <w:t>This paper is designed first as an internal decision and preparation tool and second as a working reference. It combines a concise executive view, comparative regulatory analysis, program history, Ameren Illinois implications, and reference material so readers can move from evidence to action without losing the underlying record.</w:t>
      </w:r>
    </w:p>
    <w:p w14:paraId="59120FB7" w14:textId="77777777" w:rsidR="002400E4" w:rsidRDefault="00593BEA">
      <w:pPr>
        <w:pStyle w:val="BodyText"/>
      </w:pPr>
      <w:r w:rsidRPr="00593BEA">
        <w:t>Use the document according to the decision or work product you need to support.</w:t>
      </w:r>
    </w:p>
    <w:p w14:paraId="0E82E93E" w14:textId="77777777" w:rsidR="002400E4" w:rsidRDefault="00946AA8">
      <w:pPr>
        <w:pStyle w:val="BodyText"/>
      </w:pPr>
      <w:r w:rsidRPr="00946AA8">
        <w:rPr>
          <w:b/>
          <w:bCs/>
        </w:rPr>
        <w:t>Executive reader.</w:t>
      </w:r>
      <w:r w:rsidRPr="00946AA8">
        <w:t xml:space="preserve"> Read the Executive Summary, Section 9 on Ameren Illinois implications, Section 10 on scenarios and indicators, and Section 15 for the recommended corporate posture.</w:t>
      </w:r>
    </w:p>
    <w:p w14:paraId="6ADDF672" w14:textId="77777777" w:rsidR="002400E4" w:rsidRDefault="00B3636D">
      <w:pPr>
        <w:pStyle w:val="BodyText"/>
      </w:pPr>
      <w:r w:rsidRPr="00B3636D">
        <w:rPr>
          <w:b/>
          <w:bCs/>
        </w:rPr>
        <w:t>Government relations and communications.</w:t>
      </w:r>
      <w:r w:rsidRPr="00B3636D">
        <w:t xml:space="preserve"> Add Section 1 for benchmarks, Section 7 for public narrative, Section 8 for coalition analysis, and Section 11 for affordability implications.</w:t>
      </w:r>
    </w:p>
    <w:p w14:paraId="08AB93E2" w14:textId="77777777" w:rsidR="002400E4" w:rsidRDefault="00897538">
      <w:pPr>
        <w:pStyle w:val="BodyText"/>
      </w:pPr>
      <w:r w:rsidRPr="00897538">
        <w:rPr>
          <w:b/>
          <w:bCs/>
        </w:rPr>
        <w:lastRenderedPageBreak/>
        <w:t>Regulatory, legal, and working teams.</w:t>
      </w:r>
      <w:r w:rsidRPr="00897538">
        <w:t xml:space="preserve"> Use Sections 2 through 6 for the fact check, program history, ICC record, and financial mechanics. Use Section 12 for self-</w:t>
      </w:r>
      <w:proofErr w:type="gramStart"/>
      <w:r w:rsidRPr="00897538">
        <w:t>check</w:t>
      </w:r>
      <w:proofErr w:type="gramEnd"/>
      <w:r w:rsidRPr="00897538">
        <w:t xml:space="preserve"> questions, Section 13 for defined terms, and the Sources section to verify the record.</w:t>
      </w:r>
    </w:p>
    <w:p w14:paraId="06CA757F" w14:textId="77777777" w:rsidR="00881107" w:rsidRDefault="00881107">
      <w:pPr>
        <w:pStyle w:val="BodyText"/>
        <w:rPr>
          <w:kern w:val="2"/>
          <w14:ligatures w14:val="standardContextual"/>
        </w:rPr>
      </w:pPr>
      <w:r>
        <w:rPr>
          <w:b/>
          <w:bCs/>
        </w:rPr>
        <w:t>Plain-language script.</w:t>
      </w:r>
      <w:r>
        <w:t xml:space="preserve"> Use this paper based on the question in front of you. Senior leaders can focus on the executive summary, the Ameren Illinois implications, the forecast, and the closing recommendation. Government relations and communications teams should also use the benchmark, public narrative, coalition, and affordability sections. Regulatory, legal, and working teams should rely on </w:t>
      </w:r>
      <w:proofErr w:type="gramStart"/>
      <w:r>
        <w:t>the fact</w:t>
      </w:r>
      <w:proofErr w:type="gramEnd"/>
      <w:r>
        <w:t xml:space="preserve"> check, program history, ICC record, financial explanation, self-check questions, glossary, and sources. The point is to move quickly to the relevant analysis without losing the supporting record.</w:t>
      </w:r>
    </w:p>
    <w:p w14:paraId="672A6659" w14:textId="77777777" w:rsidR="002400E4" w:rsidRDefault="003D2442">
      <w:r>
        <w:pict w14:anchorId="21C7CD28">
          <v:rect id="_x0000_i1025" style="width:0;height:1.5pt" o:hralign="center" o:hrstd="t" o:hr="t"/>
        </w:pict>
      </w:r>
    </w:p>
    <w:p w14:paraId="42673CBB" w14:textId="77777777" w:rsidR="002400E4" w:rsidRDefault="003D2442">
      <w:pPr>
        <w:pStyle w:val="Heading1"/>
      </w:pPr>
      <w:bookmarkStart w:id="3" w:name="learning-objectives"/>
      <w:bookmarkStart w:id="4" w:name="_Toc241588813"/>
      <w:bookmarkStart w:id="5" w:name="_Toc241591519"/>
      <w:bookmarkEnd w:id="1"/>
      <w:r>
        <w:t>Learning Objectives</w:t>
      </w:r>
      <w:bookmarkEnd w:id="4"/>
      <w:bookmarkEnd w:id="5"/>
    </w:p>
    <w:p w14:paraId="1CB5A588" w14:textId="77777777" w:rsidR="002400E4" w:rsidRDefault="003D2442">
      <w:pPr>
        <w:pStyle w:val="FirstParagraph"/>
      </w:pPr>
      <w:r>
        <w:t xml:space="preserve">By the end of this </w:t>
      </w:r>
      <w:proofErr w:type="gramStart"/>
      <w:r>
        <w:t>document</w:t>
      </w:r>
      <w:proofErr w:type="gramEnd"/>
      <w:r>
        <w:t xml:space="preserve"> you should be able to do the following without notes.</w:t>
      </w:r>
    </w:p>
    <w:p w14:paraId="3837028F" w14:textId="77777777" w:rsidR="002400E4" w:rsidRDefault="003D2442">
      <w:pPr>
        <w:pStyle w:val="Compact"/>
        <w:numPr>
          <w:ilvl w:val="0"/>
          <w:numId w:val="2"/>
        </w:numPr>
      </w:pPr>
      <w:r>
        <w:rPr>
          <w:b/>
          <w:bCs/>
        </w:rPr>
        <w:t>Evaluate</w:t>
      </w:r>
      <w:r>
        <w:t xml:space="preserve"> each financial claim in </w:t>
      </w:r>
      <w:proofErr w:type="gramStart"/>
      <w:r>
        <w:t>the September</w:t>
      </w:r>
      <w:proofErr w:type="gramEnd"/>
      <w:r>
        <w:t xml:space="preserve"> 29, </w:t>
      </w:r>
      <w:proofErr w:type="gramStart"/>
      <w:r>
        <w:t>2026</w:t>
      </w:r>
      <w:proofErr w:type="gramEnd"/>
      <w:r>
        <w:t xml:space="preserve"> elected official letter and classify it as verified, directionally supported, or </w:t>
      </w:r>
      <w:proofErr w:type="gramStart"/>
      <w:r>
        <w:t>advocacy-derived</w:t>
      </w:r>
      <w:proofErr w:type="gramEnd"/>
      <w:r>
        <w:t>.</w:t>
      </w:r>
    </w:p>
    <w:p w14:paraId="00DC662F" w14:textId="77777777" w:rsidR="002400E4" w:rsidRDefault="003D2442">
      <w:pPr>
        <w:pStyle w:val="Compact"/>
        <w:numPr>
          <w:ilvl w:val="0"/>
          <w:numId w:val="2"/>
        </w:numPr>
      </w:pPr>
      <w:r>
        <w:rPr>
          <w:b/>
          <w:bCs/>
        </w:rPr>
        <w:t>Reconstruct</w:t>
      </w:r>
      <w:r>
        <w:t xml:space="preserve"> the life cycle of the Peoples Gas pipe replacement program from its 1981 engineering origins through the current rate case.</w:t>
      </w:r>
    </w:p>
    <w:p w14:paraId="67B9C45F" w14:textId="77777777" w:rsidR="002400E4" w:rsidRDefault="003D2442">
      <w:pPr>
        <w:pStyle w:val="Compact"/>
        <w:numPr>
          <w:ilvl w:val="0"/>
          <w:numId w:val="2"/>
        </w:numPr>
      </w:pPr>
      <w:r>
        <w:rPr>
          <w:b/>
          <w:bCs/>
        </w:rPr>
        <w:t>Explain</w:t>
      </w:r>
      <w:r>
        <w:t xml:space="preserve"> </w:t>
      </w:r>
      <w:r>
        <w:t>in plain language how a regulated utility converts capital investment into shareholder earnings, and why that mechanism drives behavior.</w:t>
      </w:r>
    </w:p>
    <w:p w14:paraId="10285BD3" w14:textId="77777777" w:rsidR="002400E4" w:rsidRDefault="003D2442">
      <w:pPr>
        <w:pStyle w:val="Compact"/>
        <w:numPr>
          <w:ilvl w:val="0"/>
          <w:numId w:val="2"/>
        </w:numPr>
      </w:pPr>
      <w:r>
        <w:rPr>
          <w:b/>
          <w:bCs/>
        </w:rPr>
        <w:t>Benchmark</w:t>
      </w:r>
      <w:r>
        <w:t xml:space="preserve"> Peoples Gas against Nicor, Ameren Illinois, and ComEd on request size, approved amount, percentage cut, and authorized return.</w:t>
      </w:r>
    </w:p>
    <w:p w14:paraId="3BE715F9" w14:textId="77777777" w:rsidR="002400E4" w:rsidRDefault="003D2442">
      <w:pPr>
        <w:pStyle w:val="Compact"/>
        <w:numPr>
          <w:ilvl w:val="0"/>
          <w:numId w:val="2"/>
        </w:numPr>
      </w:pPr>
      <w:r>
        <w:rPr>
          <w:b/>
          <w:bCs/>
        </w:rPr>
        <w:t>Identify</w:t>
      </w:r>
      <w:r>
        <w:t xml:space="preserve"> the specific ICC findings that now function as precedent for every Illinois utility capital filing.</w:t>
      </w:r>
    </w:p>
    <w:p w14:paraId="4CFC71AC" w14:textId="77777777" w:rsidR="002400E4" w:rsidRDefault="003D2442">
      <w:pPr>
        <w:pStyle w:val="Compact"/>
        <w:numPr>
          <w:ilvl w:val="0"/>
          <w:numId w:val="2"/>
        </w:numPr>
      </w:pPr>
      <w:r>
        <w:rPr>
          <w:b/>
          <w:bCs/>
        </w:rPr>
        <w:t>Forecast</w:t>
      </w:r>
      <w:r>
        <w:t xml:space="preserve"> </w:t>
      </w:r>
      <w:r>
        <w:t>the likely outcome of Docket 26-0065 and articulate what it means for Ameren’s MYIGP and next year’s return on projected investment.</w:t>
      </w:r>
    </w:p>
    <w:p w14:paraId="01C6E218" w14:textId="77777777" w:rsidR="002400E4" w:rsidRDefault="003D2442">
      <w:pPr>
        <w:pStyle w:val="Compact"/>
        <w:numPr>
          <w:ilvl w:val="0"/>
          <w:numId w:val="2"/>
        </w:numPr>
      </w:pPr>
      <w:r>
        <w:rPr>
          <w:b/>
          <w:bCs/>
        </w:rPr>
        <w:t>Anticipate</w:t>
      </w:r>
      <w:r>
        <w:t xml:space="preserve"> the three questions an intervenor will ask about any Ameren capital </w:t>
      </w:r>
      <w:proofErr w:type="gramStart"/>
      <w:r>
        <w:t>proposal, and</w:t>
      </w:r>
      <w:proofErr w:type="gramEnd"/>
      <w:r>
        <w:t xml:space="preserve"> prepare the evidentiary record that answers them in advance.</w:t>
      </w:r>
    </w:p>
    <w:p w14:paraId="614BD29A" w14:textId="77777777" w:rsidR="00881107" w:rsidRDefault="00881107">
      <w:pPr>
        <w:pStyle w:val="BodyText"/>
        <w:rPr>
          <w:kern w:val="2"/>
          <w14:ligatures w14:val="standardContextual"/>
        </w:rPr>
      </w:pPr>
      <w:r>
        <w:rPr>
          <w:b/>
          <w:bCs/>
        </w:rPr>
        <w:t>Plain-language script.</w:t>
      </w:r>
      <w:r>
        <w:t xml:space="preserve"> After working through this report, the reader should be able to explain the letter’s strongest and weakest financial claims, describe how the Peoples Gas program developed, explain how utility capital investment creates earnings, compare recent Illinois utility outcomes, identify the ICC standards now affecting capital filings, assess the likely direction of Docket 26-0065, and anticipate the questions Ameren Illinois must answer in its MYIGP and future investment requests.</w:t>
      </w:r>
    </w:p>
    <w:p w14:paraId="0A37501D" w14:textId="77777777" w:rsidR="002400E4" w:rsidRDefault="003D2442">
      <w:r>
        <w:pict w14:anchorId="61557A7F">
          <v:rect id="_x0000_i1026" style="width:0;height:1.5pt" o:hralign="center" o:hrstd="t" o:hr="t"/>
        </w:pict>
      </w:r>
    </w:p>
    <w:p w14:paraId="5FBAB10A" w14:textId="77777777" w:rsidR="002400E4" w:rsidRDefault="003D2442">
      <w:pPr>
        <w:pStyle w:val="Heading1"/>
      </w:pPr>
      <w:bookmarkStart w:id="6" w:name="concept-map"/>
      <w:bookmarkStart w:id="7" w:name="_Toc241588814"/>
      <w:bookmarkStart w:id="8" w:name="_Toc241591520"/>
      <w:bookmarkEnd w:id="3"/>
      <w:r>
        <w:lastRenderedPageBreak/>
        <w:t>Concept Map</w:t>
      </w:r>
      <w:bookmarkEnd w:id="7"/>
      <w:bookmarkEnd w:id="8"/>
    </w:p>
    <w:p w14:paraId="47372037" w14:textId="77777777" w:rsidR="002400E4" w:rsidRDefault="003D2442">
      <w:pPr>
        <w:pStyle w:val="FirstParagraph"/>
      </w:pPr>
      <w:r>
        <w:t xml:space="preserve">The relationships below are the skeleton of the entire subject. Everything else in this paper is </w:t>
      </w:r>
      <w:proofErr w:type="gramStart"/>
      <w:r>
        <w:t>detail hung</w:t>
      </w:r>
      <w:proofErr w:type="gramEnd"/>
      <w:r>
        <w:t xml:space="preserve"> on this frame.</w:t>
      </w:r>
    </w:p>
    <w:p w14:paraId="7B76BCF4" w14:textId="77777777" w:rsidR="002400E4" w:rsidRDefault="003D2442">
      <w:pPr>
        <w:pStyle w:val="SourceCode"/>
      </w:pPr>
      <w:r>
        <w:rPr>
          <w:rStyle w:val="VerbatimChar"/>
        </w:rPr>
        <w:t xml:space="preserve">                    PHYSICAL PROBLEM</w:t>
      </w:r>
      <w:r>
        <w:br/>
      </w:r>
      <w:r>
        <w:rPr>
          <w:rStyle w:val="VerbatimChar"/>
        </w:rPr>
        <w:t xml:space="preserve">              1,000+ miles of 19th century</w:t>
      </w:r>
      <w:r>
        <w:br/>
      </w:r>
      <w:r>
        <w:rPr>
          <w:rStyle w:val="VerbatimChar"/>
        </w:rPr>
        <w:t xml:space="preserve">               cast and ductile iron pipe</w:t>
      </w:r>
      <w:r>
        <w:br/>
      </w:r>
      <w:r>
        <w:rPr>
          <w:rStyle w:val="VerbatimChar"/>
        </w:rPr>
        <w:t xml:space="preserve">                          |</w:t>
      </w:r>
      <w:r>
        <w:br/>
      </w:r>
      <w:r>
        <w:rPr>
          <w:rStyle w:val="VerbatimChar"/>
        </w:rPr>
        <w:t xml:space="preserve">                          v</w:t>
      </w:r>
      <w:r>
        <w:br/>
      </w:r>
      <w:r>
        <w:rPr>
          <w:rStyle w:val="VerbatimChar"/>
        </w:rPr>
        <w:t xml:space="preserve">                  FEDERAL PRESSURE</w:t>
      </w:r>
      <w:r>
        <w:br/>
      </w:r>
      <w:r>
        <w:rPr>
          <w:rStyle w:val="VerbatimChar"/>
        </w:rPr>
        <w:t xml:space="preserve">         San Bruno 2010 -&gt; PHMSA Call to Action 2011</w:t>
      </w:r>
      <w:r>
        <w:br/>
      </w:r>
      <w:r>
        <w:rPr>
          <w:rStyle w:val="VerbatimChar"/>
        </w:rPr>
        <w:t xml:space="preserve">                          |</w:t>
      </w:r>
      <w:r>
        <w:br/>
      </w:r>
      <w:r>
        <w:rPr>
          <w:rStyle w:val="VerbatimChar"/>
        </w:rPr>
        <w:t xml:space="preserve">                          v</w:t>
      </w:r>
      <w:r>
        <w:br/>
      </w:r>
      <w:r>
        <w:rPr>
          <w:rStyle w:val="VerbatimChar"/>
        </w:rPr>
        <w:t xml:space="preserve">                 FINANCING MECHANISM</w:t>
      </w:r>
      <w:r>
        <w:br/>
      </w:r>
      <w:r>
        <w:rPr>
          <w:rStyle w:val="VerbatimChar"/>
        </w:rPr>
        <w:t xml:space="preserve">          Public Act 98-57 (2013) -&gt; Rider QIP</w:t>
      </w:r>
      <w:r>
        <w:br/>
      </w:r>
      <w:r>
        <w:rPr>
          <w:rStyle w:val="VerbatimChar"/>
        </w:rPr>
        <w:t xml:space="preserve">        automatic surcharge, regulatory lag removed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SPENDING ACCELERATES              BILLS ACCELERATE</w:t>
      </w:r>
      <w:r>
        <w:br/>
      </w:r>
      <w:r>
        <w:rPr>
          <w:rStyle w:val="VerbatimChar"/>
        </w:rPr>
        <w:t xml:space="preserve">   $1.4B -&gt; $11B projection       QIP $1.14/mo -&gt; $30/mo</w:t>
      </w:r>
      <w:r>
        <w:br/>
      </w:r>
      <w:r>
        <w:rPr>
          <w:rStyle w:val="VerbatimChar"/>
        </w:rPr>
        <w:t xml:space="preserve">   2030 -&gt; 2048 projection         arrearages climb</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REGULATORY RESPONSE</w:t>
      </w:r>
      <w:r>
        <w:br/>
      </w:r>
      <w:r>
        <w:rPr>
          <w:rStyle w:val="VerbatimChar"/>
        </w:rPr>
        <w:t xml:space="preserve">      2018 QIP settlement -&gt; 2023 rate cut + SMP pause</w:t>
      </w:r>
      <w:r>
        <w:br/>
      </w:r>
      <w:r>
        <w:rPr>
          <w:rStyle w:val="VerbatimChar"/>
        </w:rPr>
        <w:t xml:space="preserve">      -&gt; 2024 investigation -&gt; Feb 2025 restructuring order</w:t>
      </w:r>
      <w:r>
        <w:br/>
      </w:r>
      <w:r>
        <w:rPr>
          <w:rStyle w:val="VerbatimChar"/>
        </w:rPr>
        <w:t xml:space="preserve">      -&gt; 2025 Nicor/Ameren cuts -&gt; 2026 AG settlements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PRECEDENT FORMS                  POLITICS HARDEN</w:t>
      </w:r>
      <w:r>
        <w:br/>
      </w:r>
      <w:r>
        <w:rPr>
          <w:rStyle w:val="VerbatimChar"/>
        </w:rPr>
        <w:t xml:space="preserve">   burden of proof shifts           38 electeds sign letter</w:t>
      </w:r>
      <w:r>
        <w:br/>
      </w:r>
      <w:r>
        <w:rPr>
          <w:rStyle w:val="VerbatimChar"/>
        </w:rPr>
        <w:t xml:space="preserve">   alternatives analysis            affordability + climate</w:t>
      </w:r>
      <w:r>
        <w:br/>
      </w:r>
      <w:r>
        <w:rPr>
          <w:rStyle w:val="VerbatimChar"/>
        </w:rPr>
        <w:t xml:space="preserve">   becomes mandatory                coalition, no labor</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WHAT IT MEANS FOR AMEREN</w:t>
      </w:r>
      <w:r>
        <w:br/>
      </w:r>
      <w:r>
        <w:rPr>
          <w:rStyle w:val="VerbatimChar"/>
        </w:rPr>
        <w:t xml:space="preserve">      MYIGP 2028-2031 | Future of Gas final report</w:t>
      </w:r>
      <w:r>
        <w:br/>
      </w:r>
      <w:r>
        <w:rPr>
          <w:rStyle w:val="VerbatimChar"/>
        </w:rPr>
        <w:t xml:space="preserve">      next year's ROE ask | alternatives evidence</w:t>
      </w:r>
    </w:p>
    <w:p w14:paraId="6ED6EA52" w14:textId="77777777" w:rsidR="002400E4" w:rsidRDefault="003D2442">
      <w:pPr>
        <w:pStyle w:val="FirstParagraph"/>
      </w:pPr>
      <w:r>
        <w:rPr>
          <w:b/>
          <w:bCs/>
        </w:rPr>
        <w:lastRenderedPageBreak/>
        <w:t>The one-sentence version.</w:t>
      </w:r>
      <w:r>
        <w:t xml:space="preserve"> A financing mechanism outran a governance mechanism, and the correction that followed reset the burden of proof for every utility in the state.</w:t>
      </w:r>
    </w:p>
    <w:p w14:paraId="03D64509" w14:textId="77777777" w:rsidR="00881107" w:rsidRDefault="00881107">
      <w:pPr>
        <w:pStyle w:val="BodyText"/>
        <w:rPr>
          <w:kern w:val="2"/>
          <w14:ligatures w14:val="standardContextual"/>
        </w:rPr>
      </w:pPr>
      <w:r>
        <w:rPr>
          <w:b/>
          <w:bCs/>
        </w:rPr>
        <w:t>Plain-language script.</w:t>
      </w:r>
      <w:r>
        <w:t xml:space="preserve"> Chicago had a real safety problem: more than 1,000 miles of very old iron pipe needed attention. Federal safety pressure increased after the San Bruno explosion, and Illinois responded by creating Rider QIP, which let utilities recover qualifying investments through a surcharge without waiting for a full rate case. That made it easier to spend quickly, but spending and customer bills rose much faster than expected. The program moved from an original estimate of about $1.4 billion and a 2030 target toward projections of roughly $11 billion and completion as late as 2048. Regulators then paused and restructured the work, imposed a 2035 deadline and independent monitoring, and began applying the same questions to other utilities: Is the project needed, why now, why at this pace, and what alternatives were considered? For Ameren Illinois, the lesson is to build those answers into the MYIGP and future filings from the start.</w:t>
      </w:r>
    </w:p>
    <w:p w14:paraId="5DAB6C7B" w14:textId="77777777" w:rsidR="002400E4" w:rsidRDefault="003D2442">
      <w:r>
        <w:pict w14:anchorId="561FDFB9">
          <v:rect id="_x0000_i1027" style="width:0;height:1.5pt" o:hralign="center" o:hrstd="t" o:hr="t"/>
        </w:pict>
      </w:r>
    </w:p>
    <w:p w14:paraId="2664F4B3" w14:textId="77777777" w:rsidR="002400E4" w:rsidRDefault="003D2442">
      <w:pPr>
        <w:pStyle w:val="Heading1"/>
      </w:pPr>
      <w:bookmarkStart w:id="9" w:name="executive-summary"/>
      <w:bookmarkStart w:id="10" w:name="_Toc241588815"/>
      <w:bookmarkStart w:id="11" w:name="_Toc241591521"/>
      <w:bookmarkEnd w:id="6"/>
      <w:r>
        <w:t>Executive Summary</w:t>
      </w:r>
      <w:bookmarkEnd w:id="10"/>
      <w:bookmarkEnd w:id="11"/>
    </w:p>
    <w:p w14:paraId="0DE2E0A7" w14:textId="77777777" w:rsidR="002400E4" w:rsidRDefault="003D2442">
      <w:pPr>
        <w:pStyle w:val="FirstParagraph"/>
      </w:pPr>
      <w:r>
        <w:t>The elected official letter is accurate where it matters and advocacy-shaped at the edges.</w:t>
      </w:r>
    </w:p>
    <w:p w14:paraId="39753D5F" w14:textId="77777777" w:rsidR="002400E4" w:rsidRDefault="003D2442">
      <w:pPr>
        <w:pStyle w:val="BodyText"/>
      </w:pPr>
      <w:r>
        <w:t>Verified against the public record: the $1.4 billion original estimate, the $11 billion revised trajectory, the 2048 completion projection, the February 2025 ICC restructuring order and its 2035 deadline, the 10.1 percent requested return on equity against a currently authorized 9.38 percent, the 2023 record rate increase, and the arrearage data showing roughly 162,000 customers behind as of August 2026 owing over $92 million at an average of about $570.</w:t>
      </w:r>
    </w:p>
    <w:p w14:paraId="33F43351" w14:textId="77777777" w:rsidR="002400E4" w:rsidRDefault="003D2442">
      <w:pPr>
        <w:pStyle w:val="BodyText"/>
      </w:pPr>
      <w:r>
        <w:t xml:space="preserve">Not </w:t>
      </w:r>
      <w:proofErr w:type="gramStart"/>
      <w:r>
        <w:t>verified, and</w:t>
      </w:r>
      <w:proofErr w:type="gramEnd"/>
      <w:r>
        <w:t xml:space="preserve"> properly treated as intervenor positions: the $337 million annual profit figure and the claim that profits have risen more than 400 percent since the program began. Both are </w:t>
      </w:r>
      <w:proofErr w:type="gramStart"/>
      <w:r>
        <w:t>derived</w:t>
      </w:r>
      <w:proofErr w:type="gramEnd"/>
      <w:r>
        <w:t xml:space="preserve"> calculations that a utility witness would contest in testimony.</w:t>
      </w:r>
    </w:p>
    <w:p w14:paraId="04CCC34A" w14:textId="77777777" w:rsidR="002400E4" w:rsidRDefault="003D2442">
      <w:pPr>
        <w:pStyle w:val="BodyText"/>
      </w:pPr>
      <w:r>
        <w:t xml:space="preserve">One framing correction matters for anyone circulating this letter. Peoples Gas reduced its request from $202.3 million to roughly $144 million in July 2026, a cut of nearly 30 percent. The letter’s argument is </w:t>
      </w:r>
      <w:proofErr w:type="gramStart"/>
      <w:r>
        <w:t>unchanged</w:t>
      </w:r>
      <w:proofErr w:type="gramEnd"/>
      <w:r>
        <w:t xml:space="preserve"> but the operative number is $144 million.</w:t>
      </w:r>
    </w:p>
    <w:p w14:paraId="3CA41D9D" w14:textId="77777777" w:rsidR="002400E4" w:rsidRDefault="003D2442">
      <w:pPr>
        <w:pStyle w:val="BodyText"/>
      </w:pPr>
      <w:r>
        <w:t xml:space="preserve">The benchmark analysis in Section </w:t>
      </w:r>
      <w:r w:rsidR="001641E5" w:rsidRPr="001641E5">
        <w:t>1</w:t>
      </w:r>
      <w:r>
        <w:t xml:space="preserve"> is the most important part of this paper. </w:t>
      </w:r>
      <w:r w:rsidR="001641E5" w:rsidRPr="001641E5">
        <w:t>Peoples Gas is not an outlier in the Commission’s broader treatment of utility capital proposals. The</w:t>
      </w:r>
      <w:r>
        <w:t xml:space="preserve"> ICC cut </w:t>
      </w:r>
      <w:r w:rsidR="001641E5" w:rsidRPr="001641E5">
        <w:t>Nicor’s request</w:t>
      </w:r>
      <w:r>
        <w:t xml:space="preserve"> by 47 percent, Ameren </w:t>
      </w:r>
      <w:r w:rsidR="001641E5" w:rsidRPr="001641E5">
        <w:t xml:space="preserve">Illinois </w:t>
      </w:r>
      <w:r>
        <w:t xml:space="preserve">gas by 43 percent, </w:t>
      </w:r>
      <w:r w:rsidR="001641E5" w:rsidRPr="001641E5">
        <w:t>Ameren Illinois’s</w:t>
      </w:r>
      <w:r>
        <w:t xml:space="preserve"> electric grid plan </w:t>
      </w:r>
      <w:r w:rsidR="001641E5" w:rsidRPr="001641E5">
        <w:t xml:space="preserve">spending </w:t>
      </w:r>
      <w:r>
        <w:t xml:space="preserve">by 75 percent, and ComEd’s </w:t>
      </w:r>
      <w:r w:rsidR="001641E5" w:rsidRPr="001641E5">
        <w:t xml:space="preserve">proposed grid plan spending </w:t>
      </w:r>
      <w:r>
        <w:t xml:space="preserve">by </w:t>
      </w:r>
      <w:r w:rsidR="001641E5" w:rsidRPr="001641E5">
        <w:t xml:space="preserve">approximately </w:t>
      </w:r>
      <w:r>
        <w:t xml:space="preserve">25 percent, while reducing </w:t>
      </w:r>
      <w:r w:rsidR="001641E5" w:rsidRPr="001641E5">
        <w:t xml:space="preserve">or retaining returns below the </w:t>
      </w:r>
      <w:proofErr w:type="gramStart"/>
      <w:r w:rsidR="001641E5" w:rsidRPr="001641E5">
        <w:t>utilities’</w:t>
      </w:r>
      <w:proofErr w:type="gramEnd"/>
      <w:r w:rsidR="001641E5" w:rsidRPr="001641E5">
        <w:t xml:space="preserve"> requested levels.</w:t>
      </w:r>
      <w:r>
        <w:t xml:space="preserve"> That </w:t>
      </w:r>
      <w:r w:rsidR="001641E5" w:rsidRPr="001641E5">
        <w:t>broader pattern, rather than</w:t>
      </w:r>
      <w:r>
        <w:t xml:space="preserve"> the Peoples Gas </w:t>
      </w:r>
      <w:r w:rsidR="001641E5" w:rsidRPr="001641E5">
        <w:t>record</w:t>
      </w:r>
      <w:r>
        <w:t xml:space="preserve"> alone, </w:t>
      </w:r>
      <w:r>
        <w:t xml:space="preserve">should shape </w:t>
      </w:r>
      <w:r w:rsidR="001641E5" w:rsidRPr="001641E5">
        <w:t>Ameren Illinois’s</w:t>
      </w:r>
      <w:r>
        <w:t xml:space="preserve"> MYIGP posture.</w:t>
      </w:r>
    </w:p>
    <w:p w14:paraId="24031BA7" w14:textId="77777777" w:rsidR="001641E5" w:rsidRDefault="001641E5">
      <w:pPr>
        <w:pStyle w:val="BodyText"/>
        <w:rPr>
          <w:kern w:val="2"/>
          <w14:ligatures w14:val="standardContextual"/>
        </w:rPr>
      </w:pPr>
      <w:r>
        <w:rPr>
          <w:b/>
          <w:bCs/>
        </w:rPr>
        <w:t>Recommended action agenda.</w:t>
      </w:r>
      <w:r>
        <w:t xml:space="preserve"> Build a project-level record of need, timing, pace, alternatives, and customer benefit; quantify affordability and bill impacts by customer </w:t>
      </w:r>
      <w:r>
        <w:lastRenderedPageBreak/>
        <w:t>class; align regulatory, operational, economic development, communications, and government relations teams around a common evidentiary narrative; develop scenarios tied to identifiable regulatory and legislative triggers; and maintain a current source file for every high-consequence claim used externally.</w:t>
      </w:r>
    </w:p>
    <w:p w14:paraId="148493D8" w14:textId="77777777" w:rsidR="00344D60" w:rsidRDefault="00344D60">
      <w:pPr>
        <w:pStyle w:val="BodyText"/>
        <w:rPr>
          <w:kern w:val="2"/>
          <w14:ligatures w14:val="standardContextual"/>
        </w:rPr>
      </w:pPr>
      <w:r>
        <w:rPr>
          <w:b/>
          <w:bCs/>
        </w:rPr>
        <w:t>Plain-language script.</w:t>
      </w:r>
      <w:r>
        <w:t xml:space="preserve"> Most of the elected officials’ </w:t>
      </w:r>
      <w:proofErr w:type="gramStart"/>
      <w:r>
        <w:t>letter is</w:t>
      </w:r>
      <w:proofErr w:type="gramEnd"/>
      <w:r>
        <w:t xml:space="preserve"> supported by the public record, including the original cost estimate, the later cost and schedule projections, the ICC’s restructuring order, the requested and authorized returns, the 2023 rate increase, and the arrearage data. The profit figures should remain attributed to advocates because they are </w:t>
      </w:r>
      <w:proofErr w:type="gramStart"/>
      <w:r>
        <w:t>derived</w:t>
      </w:r>
      <w:proofErr w:type="gramEnd"/>
      <w:r>
        <w:t xml:space="preserve"> calculations rather than Commission findings. The operative rate request is now about $144 million, not $202.3 million. For Ameren Illinois, the larger lesson is that recent Commission scrutiny extends across utilities, so the MYIGP record should clearly establish need, timing, pace, alternatives, affordability, and measurable customer benefits.</w:t>
      </w:r>
    </w:p>
    <w:p w14:paraId="02EB378F" w14:textId="77777777" w:rsidR="002400E4" w:rsidRDefault="003D2442">
      <w:r>
        <w:pict w14:anchorId="52B2A530">
          <v:rect id="_x0000_i1028" style="width:0;height:1.5pt" o:hralign="center" o:hrstd="t" o:hr="t"/>
        </w:pict>
      </w:r>
    </w:p>
    <w:p w14:paraId="6BBF607B" w14:textId="77777777" w:rsidR="002400E4" w:rsidRDefault="003D2442">
      <w:pPr>
        <w:pStyle w:val="Heading1"/>
      </w:pPr>
      <w:bookmarkStart w:id="12" w:name="X011f0fc1fead644e8f9086dc9f445530a441911"/>
      <w:bookmarkStart w:id="13" w:name="_Toc241588816"/>
      <w:bookmarkStart w:id="14" w:name="_Toc241591522"/>
      <w:bookmarkEnd w:id="9"/>
      <w:r>
        <w:t>Section 1. Benchmark Analysis: Illinois Utility Programs Compared</w:t>
      </w:r>
      <w:bookmarkEnd w:id="13"/>
      <w:bookmarkEnd w:id="14"/>
    </w:p>
    <w:p w14:paraId="735F6C68" w14:textId="77777777" w:rsidR="002400E4" w:rsidRDefault="003D2442">
      <w:pPr>
        <w:pStyle w:val="FirstParagraph"/>
      </w:pPr>
      <w:r>
        <w:t>This is the section to read if you read nothing else.</w:t>
      </w:r>
    </w:p>
    <w:p w14:paraId="3ECBBED5" w14:textId="77777777" w:rsidR="001641E5" w:rsidRDefault="001641E5">
      <w:pPr>
        <w:pStyle w:val="BodyText"/>
        <w:rPr>
          <w:kern w:val="2"/>
          <w14:ligatures w14:val="standardContextual"/>
        </w:rPr>
      </w:pPr>
      <w:bookmarkStart w:id="15" w:name="recent-illinois-rate-case-outcomes"/>
      <w:r>
        <w:rPr>
          <w:b/>
          <w:bCs/>
        </w:rPr>
        <w:t xml:space="preserve">Methodology </w:t>
      </w:r>
      <w:proofErr w:type="gramStart"/>
      <w:r>
        <w:rPr>
          <w:b/>
          <w:bCs/>
        </w:rPr>
        <w:t>note</w:t>
      </w:r>
      <w:proofErr w:type="gramEnd"/>
      <w:r>
        <w:rPr>
          <w:b/>
          <w:bCs/>
        </w:rPr>
        <w:t>.</w:t>
      </w:r>
      <w:r>
        <w:t xml:space="preserve"> The proceedings below are useful directional benchmarks, but they are not directly equivalent. Base rate cases, grid plans, reconciliations, and negotiated settlements involve different legal standards, scopes, time periods, and measures of requested and approved amounts. Percentage comparisons should therefore be read as indicators of regulatory posture rather than as precise </w:t>
      </w:r>
      <w:proofErr w:type="gramStart"/>
      <w:r>
        <w:t>like</w:t>
      </w:r>
      <w:proofErr w:type="gramEnd"/>
      <w:r>
        <w:t>-for-like performance rankings.</w:t>
      </w:r>
    </w:p>
    <w:p w14:paraId="3EAC2B1E" w14:textId="77777777" w:rsidR="002400E4" w:rsidRDefault="003D2442">
      <w:pPr>
        <w:pStyle w:val="Heading2"/>
      </w:pPr>
      <w:bookmarkStart w:id="16" w:name="_Toc241591523"/>
      <w:r>
        <w:t>1.1 Recent Illinois Rate Case Outcomes</w:t>
      </w:r>
      <w:bookmarkEnd w:id="16"/>
    </w:p>
    <w:p w14:paraId="4D336053" w14:textId="77777777" w:rsidR="002400E4" w:rsidRDefault="003D2442">
      <w:pPr>
        <w:pStyle w:val="BodyText"/>
      </w:pPr>
      <w:r>
        <w:t xml:space="preserve">Sources: ICC press releases of November 19, </w:t>
      </w:r>
      <w:proofErr w:type="gramStart"/>
      <w:r>
        <w:t>2025</w:t>
      </w:r>
      <w:proofErr w:type="gramEnd"/>
      <w:r>
        <w:t xml:space="preserve"> for the Nicor and Ameren gas orders; Southern Company Gas Form 8-K of November 19, 2025; Capitol News Illinois and BOMA Chicago reporting on Docket 26-0065; Nicor Gas rate request disclosures.</w:t>
      </w:r>
    </w:p>
    <w:p w14:paraId="2E99F59A" w14:textId="77777777" w:rsidR="002400E4" w:rsidRDefault="003D2442">
      <w:pPr>
        <w:pStyle w:val="BodyText"/>
      </w:pPr>
      <w:r>
        <w:rPr>
          <w:b/>
          <w:bCs/>
        </w:rPr>
        <w:t>Read across the rows.</w:t>
      </w:r>
      <w:r>
        <w:t xml:space="preserve"> </w:t>
      </w:r>
      <w:r>
        <w:t xml:space="preserve">Every gas utility asked for more than 10 percent ROE in its most recent case. </w:t>
      </w:r>
      <w:proofErr w:type="gramStart"/>
      <w:r>
        <w:t>Every one</w:t>
      </w:r>
      <w:proofErr w:type="gramEnd"/>
      <w:r>
        <w:t xml:space="preserve"> that has received an order got 9.60 percent or less. No Illinois gas utility has received an authorized return above 9.60 percent in the current Commission’s recent practice.</w:t>
      </w:r>
    </w:p>
    <w:p w14:paraId="10C1D6B5" w14:textId="77777777" w:rsidR="002400E4" w:rsidRDefault="003D2442">
      <w:pPr>
        <w:pStyle w:val="Heading2"/>
      </w:pPr>
      <w:bookmarkStart w:id="17" w:name="electric-multi-year-grid-plan-outcomes"/>
      <w:bookmarkStart w:id="18" w:name="_Toc241591524"/>
      <w:bookmarkEnd w:id="15"/>
      <w:r>
        <w:t>1.2 Electric Multi-Year Grid Plan Outcomes</w:t>
      </w:r>
      <w:bookmarkEnd w:id="18"/>
    </w:p>
    <w:p w14:paraId="5B54685C" w14:textId="77777777" w:rsidR="002400E4" w:rsidRDefault="003D2442">
      <w:pPr>
        <w:pStyle w:val="BodyText"/>
      </w:pPr>
      <w:r>
        <w:t>Source: ICC press release of December 20, 2024; contemporaneous trade and local reporting.</w:t>
      </w:r>
    </w:p>
    <w:p w14:paraId="5A0C6EF2" w14:textId="77777777" w:rsidR="002400E4" w:rsidRDefault="003D2442">
      <w:pPr>
        <w:pStyle w:val="BodyText"/>
      </w:pPr>
      <w:r>
        <w:rPr>
          <w:b/>
          <w:bCs/>
        </w:rPr>
        <w:lastRenderedPageBreak/>
        <w:t xml:space="preserve">The lesson </w:t>
      </w:r>
      <w:proofErr w:type="gramStart"/>
      <w:r>
        <w:rPr>
          <w:b/>
          <w:bCs/>
        </w:rPr>
        <w:t>in</w:t>
      </w:r>
      <w:proofErr w:type="gramEnd"/>
      <w:r>
        <w:rPr>
          <w:b/>
          <w:bCs/>
        </w:rPr>
        <w:t xml:space="preserve"> this table.</w:t>
      </w:r>
      <w:r>
        <w:t xml:space="preserve"> </w:t>
      </w:r>
      <w:r>
        <w:t>Ameren’s electric grid plan took the single deepest percentage cut of any Illinois proceeding in this cycle, at roughly 75 percent. That is not a Peoples Gas problem. That is our own precedent, and it is the baseline the Commission will measure our 2028-2031 filing against.</w:t>
      </w:r>
    </w:p>
    <w:p w14:paraId="3220728A" w14:textId="77777777" w:rsidR="002400E4" w:rsidRDefault="003D2442">
      <w:pPr>
        <w:pStyle w:val="Heading2"/>
      </w:pPr>
      <w:bookmarkStart w:id="19" w:name="X3a7959181fe3220778c00090b69c8f194305518"/>
      <w:bookmarkStart w:id="20" w:name="_Toc241591525"/>
      <w:bookmarkEnd w:id="17"/>
      <w:r>
        <w:t>1.3 Capital Disallowance and Prudence Benchmarks</w:t>
      </w:r>
      <w:bookmarkEnd w:id="20"/>
    </w:p>
    <w:p w14:paraId="6839863C" w14:textId="77777777" w:rsidR="002400E4" w:rsidRDefault="003D2442">
      <w:pPr>
        <w:pStyle w:val="BodyText"/>
      </w:pPr>
      <w:r>
        <w:t xml:space="preserve">Sources: ICC orders in the cited dockets; Southern Company Gas Forms 8-K of June 15, </w:t>
      </w:r>
      <w:proofErr w:type="gramStart"/>
      <w:r>
        <w:t>2023</w:t>
      </w:r>
      <w:proofErr w:type="gramEnd"/>
      <w:r>
        <w:t xml:space="preserve"> and November 19, 2025; ICC press release of December 18, 2025; Illinois Attorney General and Citizens Utility Board settlement materials.</w:t>
      </w:r>
    </w:p>
    <w:p w14:paraId="370CF544" w14:textId="77777777" w:rsidR="002400E4" w:rsidRDefault="003D2442">
      <w:pPr>
        <w:pStyle w:val="BodyText"/>
      </w:pPr>
      <w:r>
        <w:rPr>
          <w:b/>
          <w:bCs/>
        </w:rPr>
        <w:t>The pattern.</w:t>
      </w:r>
      <w:r>
        <w:t xml:space="preserve"> Disallowance is no longer episodic. Across four utilities and five proceedings, the Commission has removed capital, reduced return, and required forward-looking justification. Two of these produced material earnings charges disclosed to the SEC.</w:t>
      </w:r>
    </w:p>
    <w:p w14:paraId="71CEFE32" w14:textId="77777777" w:rsidR="002400E4" w:rsidRDefault="003D2442">
      <w:pPr>
        <w:pStyle w:val="Heading2"/>
      </w:pPr>
      <w:bookmarkStart w:id="21" w:name="program-execution-benchmark"/>
      <w:bookmarkStart w:id="22" w:name="_Toc241591526"/>
      <w:bookmarkEnd w:id="19"/>
      <w:r>
        <w:t>1.4 Program Execution Benchmark</w:t>
      </w:r>
      <w:bookmarkEnd w:id="22"/>
    </w:p>
    <w:tbl>
      <w:tblPr>
        <w:tblStyle w:val="Table"/>
        <w:tblW w:w="5000" w:type="pct"/>
        <w:tblLook w:val="0020" w:firstRow="1" w:lastRow="0" w:firstColumn="0" w:lastColumn="0" w:noHBand="0" w:noVBand="0"/>
      </w:tblPr>
      <w:tblGrid>
        <w:gridCol w:w="2335"/>
        <w:gridCol w:w="2335"/>
        <w:gridCol w:w="2335"/>
        <w:gridCol w:w="2335"/>
      </w:tblGrid>
      <w:tr w:rsidR="00881107" w14:paraId="178696F1" w14:textId="77777777" w:rsidTr="00881107">
        <w:trPr>
          <w:cnfStyle w:val="100000000000" w:firstRow="1" w:lastRow="0" w:firstColumn="0" w:lastColumn="0" w:oddVBand="0" w:evenVBand="0" w:oddHBand="0" w:evenHBand="0" w:firstRowFirstColumn="0" w:firstRowLastColumn="0" w:lastRowFirstColumn="0" w:lastRowLastColumn="0"/>
          <w:trHeight w:val="560"/>
        </w:trPr>
        <w:tc>
          <w:tcPr>
            <w:tcW w:w="1980" w:type="dxa"/>
            <w:tcBorders>
              <w:top w:val="single" w:sz="8" w:space="0" w:color="0F4761"/>
              <w:left w:val="single" w:sz="8" w:space="0" w:color="0F4761"/>
              <w:bottom w:val="single" w:sz="8" w:space="0" w:color="0F4761"/>
              <w:right w:val="single" w:sz="8" w:space="0" w:color="0F4761"/>
            </w:tcBorders>
            <w:shd w:val="clear" w:color="auto" w:fill="0F4761"/>
            <w:hideMark/>
          </w:tcPr>
          <w:p w14:paraId="3F9767E2" w14:textId="77777777" w:rsidR="00881107" w:rsidRDefault="00881107">
            <w:pPr>
              <w:pStyle w:val="Compact"/>
              <w:jc w:val="center"/>
              <w:rPr>
                <w:color w:val="FFFFFF"/>
                <w:kern w:val="2"/>
                <w:sz w:val="20"/>
                <w:szCs w:val="20"/>
                <w14:ligatures w14:val="standardContextual"/>
              </w:rPr>
            </w:pPr>
            <w:r>
              <w:rPr>
                <w:b/>
                <w:bCs/>
                <w:color w:val="FFFFFF"/>
                <w:sz w:val="20"/>
                <w:szCs w:val="20"/>
              </w:rPr>
              <w:t>Metric</w:t>
            </w:r>
          </w:p>
        </w:tc>
        <w:tc>
          <w:tcPr>
            <w:tcW w:w="1980" w:type="dxa"/>
            <w:tcBorders>
              <w:top w:val="single" w:sz="8" w:space="0" w:color="0F4761"/>
              <w:left w:val="single" w:sz="8" w:space="0" w:color="0F4761"/>
              <w:bottom w:val="single" w:sz="8" w:space="0" w:color="0F4761"/>
              <w:right w:val="single" w:sz="8" w:space="0" w:color="0F4761"/>
            </w:tcBorders>
            <w:shd w:val="clear" w:color="auto" w:fill="0F4761"/>
            <w:hideMark/>
          </w:tcPr>
          <w:p w14:paraId="2E791D96" w14:textId="77777777" w:rsidR="00881107" w:rsidRDefault="00881107">
            <w:pPr>
              <w:pStyle w:val="Compact"/>
              <w:jc w:val="center"/>
              <w:rPr>
                <w:color w:val="FFFFFF"/>
                <w:sz w:val="20"/>
                <w:szCs w:val="20"/>
              </w:rPr>
            </w:pPr>
            <w:proofErr w:type="gramStart"/>
            <w:r>
              <w:rPr>
                <w:b/>
                <w:bCs/>
                <w:color w:val="FFFFFF"/>
                <w:sz w:val="20"/>
                <w:szCs w:val="20"/>
              </w:rPr>
              <w:t>Peoples</w:t>
            </w:r>
            <w:proofErr w:type="gramEnd"/>
            <w:r>
              <w:rPr>
                <w:b/>
                <w:bCs/>
                <w:color w:val="FFFFFF"/>
                <w:sz w:val="20"/>
                <w:szCs w:val="20"/>
              </w:rPr>
              <w:t xml:space="preserve"> Gas PRP</w:t>
            </w:r>
          </w:p>
        </w:tc>
        <w:tc>
          <w:tcPr>
            <w:tcW w:w="1980" w:type="dxa"/>
            <w:tcBorders>
              <w:top w:val="single" w:sz="8" w:space="0" w:color="0F4761"/>
              <w:left w:val="single" w:sz="8" w:space="0" w:color="0F4761"/>
              <w:bottom w:val="single" w:sz="8" w:space="0" w:color="0F4761"/>
              <w:right w:val="single" w:sz="8" w:space="0" w:color="0F4761"/>
            </w:tcBorders>
            <w:shd w:val="clear" w:color="auto" w:fill="0F4761"/>
            <w:hideMark/>
          </w:tcPr>
          <w:p w14:paraId="7770C26E" w14:textId="77777777" w:rsidR="00881107" w:rsidRDefault="00881107">
            <w:pPr>
              <w:pStyle w:val="Compact"/>
              <w:jc w:val="center"/>
              <w:rPr>
                <w:color w:val="FFFFFF"/>
                <w:sz w:val="20"/>
                <w:szCs w:val="20"/>
              </w:rPr>
            </w:pPr>
            <w:r>
              <w:rPr>
                <w:b/>
                <w:bCs/>
                <w:color w:val="FFFFFF"/>
                <w:sz w:val="20"/>
                <w:szCs w:val="20"/>
              </w:rPr>
              <w:t>Nicor Investing in Illinois</w:t>
            </w:r>
          </w:p>
        </w:tc>
        <w:tc>
          <w:tcPr>
            <w:tcW w:w="1980" w:type="dxa"/>
            <w:tcBorders>
              <w:top w:val="single" w:sz="8" w:space="0" w:color="0F4761"/>
              <w:left w:val="single" w:sz="8" w:space="0" w:color="0F4761"/>
              <w:bottom w:val="single" w:sz="8" w:space="0" w:color="0F4761"/>
              <w:right w:val="single" w:sz="8" w:space="0" w:color="0F4761"/>
            </w:tcBorders>
            <w:shd w:val="clear" w:color="auto" w:fill="0F4761"/>
            <w:hideMark/>
          </w:tcPr>
          <w:p w14:paraId="3BDFE5FB" w14:textId="77777777" w:rsidR="00881107" w:rsidRDefault="00881107">
            <w:pPr>
              <w:pStyle w:val="Compact"/>
              <w:jc w:val="center"/>
              <w:rPr>
                <w:color w:val="FFFFFF"/>
                <w:sz w:val="20"/>
                <w:szCs w:val="20"/>
              </w:rPr>
            </w:pPr>
            <w:r>
              <w:rPr>
                <w:b/>
                <w:bCs/>
                <w:color w:val="FFFFFF"/>
                <w:sz w:val="20"/>
                <w:szCs w:val="20"/>
              </w:rPr>
              <w:t>Ameren Illinois gas</w:t>
            </w:r>
          </w:p>
        </w:tc>
      </w:tr>
    </w:tbl>
    <w:tbl>
      <w:tblPr>
        <w:tblStyle w:val="Table"/>
        <w:tblW w:w="5000" w:type="pct"/>
        <w:tblLook w:val="0020" w:firstRow="1" w:lastRow="0" w:firstColumn="0" w:lastColumn="0" w:noHBand="0" w:noVBand="0"/>
      </w:tblPr>
      <w:tblGrid>
        <w:gridCol w:w="2337"/>
        <w:gridCol w:w="2337"/>
        <w:gridCol w:w="2338"/>
        <w:gridCol w:w="2338"/>
      </w:tblGrid>
      <w:tr w:rsidR="00881107" w14:paraId="250D5F12" w14:textId="77777777" w:rsidTr="00881107">
        <w:trPr>
          <w:cnfStyle w:val="100000000000" w:firstRow="1" w:lastRow="0" w:firstColumn="0" w:lastColumn="0" w:oddVBand="0" w:evenVBand="0" w:oddHBand="0" w:evenHBand="0" w:firstRowFirstColumn="0" w:firstRowLastColumn="0" w:lastRowFirstColumn="0" w:lastRowLastColumn="0"/>
          <w:trHeight w:val="480"/>
        </w:trPr>
        <w:tc>
          <w:tcPr>
            <w:tcW w:w="1980" w:type="dxa"/>
            <w:tcBorders>
              <w:top w:val="single" w:sz="4" w:space="0" w:color="B4C6E7"/>
              <w:left w:val="single" w:sz="4" w:space="0" w:color="B4C6E7"/>
              <w:bottom w:val="single" w:sz="4" w:space="0" w:color="B4C6E7"/>
              <w:right w:val="single" w:sz="4" w:space="0" w:color="B4C6E7"/>
            </w:tcBorders>
            <w:shd w:val="clear" w:color="auto" w:fill="DDEBF7"/>
            <w:vAlign w:val="center"/>
            <w:hideMark/>
          </w:tcPr>
          <w:p w14:paraId="1586355F" w14:textId="77777777" w:rsidR="00881107" w:rsidRDefault="00881107">
            <w:pPr>
              <w:pStyle w:val="Compact"/>
              <w:rPr>
                <w:kern w:val="2"/>
                <w14:ligatures w14:val="standardContextual"/>
              </w:rPr>
            </w:pPr>
            <w:r>
              <w:rPr>
                <w:b/>
                <w:bCs/>
              </w:rPr>
              <w:t>Statutory basis</w:t>
            </w:r>
          </w:p>
        </w:tc>
        <w:tc>
          <w:tcPr>
            <w:tcW w:w="1980" w:type="dxa"/>
            <w:tcBorders>
              <w:top w:val="single" w:sz="4" w:space="0" w:color="B4C6E7"/>
              <w:left w:val="single" w:sz="4" w:space="0" w:color="B4C6E7"/>
              <w:bottom w:val="single" w:sz="4" w:space="0" w:color="B4C6E7"/>
              <w:right w:val="single" w:sz="4" w:space="0" w:color="B4C6E7"/>
            </w:tcBorders>
            <w:shd w:val="clear" w:color="auto" w:fill="DDEBF7"/>
            <w:vAlign w:val="center"/>
            <w:hideMark/>
          </w:tcPr>
          <w:p w14:paraId="58BA278C" w14:textId="77777777" w:rsidR="00881107" w:rsidRDefault="00881107">
            <w:pPr>
              <w:pStyle w:val="Compact"/>
            </w:pPr>
            <w:r>
              <w:t>Public Act 98-57, Section 9-220.3, Rider QIP, sunset end of 2023</w:t>
            </w:r>
          </w:p>
        </w:tc>
        <w:tc>
          <w:tcPr>
            <w:tcW w:w="1980" w:type="dxa"/>
            <w:tcBorders>
              <w:top w:val="single" w:sz="4" w:space="0" w:color="B4C6E7"/>
              <w:left w:val="single" w:sz="4" w:space="0" w:color="B4C6E7"/>
              <w:bottom w:val="single" w:sz="4" w:space="0" w:color="B4C6E7"/>
              <w:right w:val="single" w:sz="4" w:space="0" w:color="B4C6E7"/>
            </w:tcBorders>
            <w:shd w:val="clear" w:color="auto" w:fill="DDEBF7"/>
            <w:vAlign w:val="center"/>
            <w:hideMark/>
          </w:tcPr>
          <w:p w14:paraId="788BFBE0" w14:textId="77777777" w:rsidR="00881107" w:rsidRDefault="00881107">
            <w:pPr>
              <w:pStyle w:val="Compact"/>
            </w:pPr>
            <w:r>
              <w:t>Same statute, Rider 32</w:t>
            </w:r>
          </w:p>
        </w:tc>
        <w:tc>
          <w:tcPr>
            <w:tcW w:w="1980" w:type="dxa"/>
            <w:tcBorders>
              <w:top w:val="single" w:sz="4" w:space="0" w:color="B4C6E7"/>
              <w:left w:val="single" w:sz="4" w:space="0" w:color="B4C6E7"/>
              <w:bottom w:val="single" w:sz="4" w:space="0" w:color="B4C6E7"/>
              <w:right w:val="single" w:sz="4" w:space="0" w:color="B4C6E7"/>
            </w:tcBorders>
            <w:shd w:val="clear" w:color="auto" w:fill="DDEBF7"/>
            <w:vAlign w:val="center"/>
            <w:hideMark/>
          </w:tcPr>
          <w:p w14:paraId="2D4AAE4C" w14:textId="77777777" w:rsidR="00881107" w:rsidRDefault="00881107">
            <w:pPr>
              <w:pStyle w:val="Compact"/>
            </w:pPr>
            <w:r>
              <w:t>Same statute, Rider QIP</w:t>
            </w:r>
          </w:p>
        </w:tc>
      </w:tr>
    </w:tbl>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2400E4" w14:paraId="66ADE795" w14:textId="77777777" w:rsidTr="00334D31">
        <w:trPr>
          <w:cnfStyle w:val="100000000000" w:firstRow="1" w:lastRow="0" w:firstColumn="0" w:lastColumn="0" w:oddVBand="0" w:evenVBand="0" w:oddHBand="0" w:evenHBand="0" w:firstRowFirstColumn="0" w:firstRowLastColumn="0" w:lastRowFirstColumn="0" w:lastRowLastColumn="0"/>
        </w:trPr>
        <w:tc>
          <w:tcPr>
            <w:tcW w:w="1980" w:type="dxa"/>
            <w:tcBorders>
              <w:bottom w:val="none" w:sz="0" w:space="0" w:color="auto"/>
            </w:tcBorders>
          </w:tcPr>
          <w:p w14:paraId="513A8DD1" w14:textId="77777777" w:rsidR="002400E4" w:rsidRDefault="003D2442">
            <w:pPr>
              <w:pStyle w:val="Compact"/>
            </w:pPr>
            <w:r>
              <w:t>Original cost estimate</w:t>
            </w:r>
          </w:p>
        </w:tc>
        <w:tc>
          <w:tcPr>
            <w:tcW w:w="1980" w:type="dxa"/>
            <w:tcBorders>
              <w:bottom w:val="none" w:sz="0" w:space="0" w:color="auto"/>
            </w:tcBorders>
          </w:tcPr>
          <w:p w14:paraId="20FD4DBB" w14:textId="77777777" w:rsidR="002400E4" w:rsidRDefault="003D2442">
            <w:pPr>
              <w:pStyle w:val="Compact"/>
            </w:pPr>
            <w:r>
              <w:t>~$1.4B, broader scope figures near $2B</w:t>
            </w:r>
          </w:p>
        </w:tc>
        <w:tc>
          <w:tcPr>
            <w:tcW w:w="1980" w:type="dxa"/>
            <w:tcBorders>
              <w:bottom w:val="none" w:sz="0" w:space="0" w:color="auto"/>
            </w:tcBorders>
          </w:tcPr>
          <w:p w14:paraId="6DB3D57A" w14:textId="77777777" w:rsidR="002400E4" w:rsidRDefault="003D2442">
            <w:pPr>
              <w:pStyle w:val="Compact"/>
            </w:pPr>
            <w:r>
              <w:t>Programmatic annual spend, no single fixed total</w:t>
            </w:r>
          </w:p>
        </w:tc>
        <w:tc>
          <w:tcPr>
            <w:tcW w:w="1980" w:type="dxa"/>
            <w:tcBorders>
              <w:bottom w:val="none" w:sz="0" w:space="0" w:color="auto"/>
            </w:tcBorders>
          </w:tcPr>
          <w:p w14:paraId="62831411" w14:textId="77777777" w:rsidR="002400E4" w:rsidRDefault="003D2442">
            <w:pPr>
              <w:pStyle w:val="Compact"/>
            </w:pPr>
            <w:r>
              <w:t>Programmatic annual spend</w:t>
            </w:r>
          </w:p>
        </w:tc>
      </w:tr>
      <w:tr w:rsidR="002400E4" w14:paraId="5210B464" w14:textId="77777777" w:rsidTr="00334D31">
        <w:tc>
          <w:tcPr>
            <w:tcW w:w="1980" w:type="dxa"/>
          </w:tcPr>
          <w:p w14:paraId="37039949" w14:textId="77777777" w:rsidR="002400E4" w:rsidRDefault="003D2442">
            <w:pPr>
              <w:pStyle w:val="Compact"/>
            </w:pPr>
            <w:r>
              <w:t>Revised projection</w:t>
            </w:r>
          </w:p>
        </w:tc>
        <w:tc>
          <w:tcPr>
            <w:tcW w:w="1980" w:type="dxa"/>
          </w:tcPr>
          <w:p w14:paraId="47A5B330" w14:textId="77777777" w:rsidR="002400E4" w:rsidRDefault="003D2442">
            <w:pPr>
              <w:pStyle w:val="Compact"/>
            </w:pPr>
            <w:r>
              <w:t>$11B to $13B</w:t>
            </w:r>
          </w:p>
        </w:tc>
        <w:tc>
          <w:tcPr>
            <w:tcW w:w="1980" w:type="dxa"/>
          </w:tcPr>
          <w:p w14:paraId="2FEF0F91" w14:textId="77777777" w:rsidR="002400E4" w:rsidRDefault="003D2442">
            <w:pPr>
              <w:pStyle w:val="Compact"/>
            </w:pPr>
            <w:r>
              <w:t>not comparably scoped</w:t>
            </w:r>
          </w:p>
        </w:tc>
        <w:tc>
          <w:tcPr>
            <w:tcW w:w="1980" w:type="dxa"/>
          </w:tcPr>
          <w:p w14:paraId="773897B0" w14:textId="77777777" w:rsidR="002400E4" w:rsidRDefault="003D2442">
            <w:pPr>
              <w:pStyle w:val="Compact"/>
            </w:pPr>
            <w:r>
              <w:t>not comparably scoped</w:t>
            </w:r>
          </w:p>
        </w:tc>
      </w:tr>
      <w:tr w:rsidR="002400E4" w14:paraId="214A95D5" w14:textId="77777777" w:rsidTr="00334D31">
        <w:tc>
          <w:tcPr>
            <w:tcW w:w="1980" w:type="dxa"/>
          </w:tcPr>
          <w:p w14:paraId="112E4735" w14:textId="77777777" w:rsidR="002400E4" w:rsidRDefault="003D2442">
            <w:pPr>
              <w:pStyle w:val="Compact"/>
            </w:pPr>
            <w:r>
              <w:t>Original completion target</w:t>
            </w:r>
          </w:p>
        </w:tc>
        <w:tc>
          <w:tcPr>
            <w:tcW w:w="1980" w:type="dxa"/>
          </w:tcPr>
          <w:p w14:paraId="37A24FBC" w14:textId="77777777" w:rsidR="002400E4" w:rsidRDefault="003D2442">
            <w:pPr>
              <w:pStyle w:val="Compact"/>
            </w:pPr>
            <w:r>
              <w:t>2030</w:t>
            </w:r>
          </w:p>
        </w:tc>
        <w:tc>
          <w:tcPr>
            <w:tcW w:w="1980" w:type="dxa"/>
          </w:tcPr>
          <w:p w14:paraId="5A7BFC29" w14:textId="77777777" w:rsidR="002400E4" w:rsidRDefault="003D2442">
            <w:pPr>
              <w:pStyle w:val="Compact"/>
            </w:pPr>
            <w:r>
              <w:t>rolling</w:t>
            </w:r>
          </w:p>
        </w:tc>
        <w:tc>
          <w:tcPr>
            <w:tcW w:w="1980" w:type="dxa"/>
          </w:tcPr>
          <w:p w14:paraId="5259A661" w14:textId="77777777" w:rsidR="002400E4" w:rsidRDefault="003D2442">
            <w:pPr>
              <w:pStyle w:val="Compact"/>
            </w:pPr>
            <w:r>
              <w:t>rolling</w:t>
            </w:r>
          </w:p>
        </w:tc>
      </w:tr>
      <w:tr w:rsidR="002400E4" w14:paraId="391A43A0" w14:textId="77777777" w:rsidTr="00334D31">
        <w:tc>
          <w:tcPr>
            <w:tcW w:w="1980" w:type="dxa"/>
          </w:tcPr>
          <w:p w14:paraId="469F19E0" w14:textId="77777777" w:rsidR="002400E4" w:rsidRDefault="003D2442">
            <w:pPr>
              <w:pStyle w:val="Compact"/>
            </w:pPr>
            <w:r>
              <w:t>Revised completion target</w:t>
            </w:r>
          </w:p>
        </w:tc>
        <w:tc>
          <w:tcPr>
            <w:tcW w:w="1980" w:type="dxa"/>
          </w:tcPr>
          <w:p w14:paraId="197A58F7" w14:textId="77777777" w:rsidR="002400E4" w:rsidRDefault="003D2442">
            <w:pPr>
              <w:pStyle w:val="Compact"/>
            </w:pPr>
            <w:r>
              <w:t>2035 by ICC mandate, 2048 without intervention</w:t>
            </w:r>
          </w:p>
        </w:tc>
        <w:tc>
          <w:tcPr>
            <w:tcW w:w="1980" w:type="dxa"/>
          </w:tcPr>
          <w:p w14:paraId="697FCDCF" w14:textId="77777777" w:rsidR="002400E4" w:rsidRDefault="003D2442">
            <w:pPr>
              <w:pStyle w:val="Compact"/>
            </w:pPr>
            <w:r>
              <w:t>rolling</w:t>
            </w:r>
          </w:p>
        </w:tc>
        <w:tc>
          <w:tcPr>
            <w:tcW w:w="1980" w:type="dxa"/>
          </w:tcPr>
          <w:p w14:paraId="0EC6AFF6" w14:textId="77777777" w:rsidR="002400E4" w:rsidRDefault="003D2442">
            <w:pPr>
              <w:pStyle w:val="Compact"/>
            </w:pPr>
            <w:r>
              <w:t>rolling</w:t>
            </w:r>
          </w:p>
        </w:tc>
      </w:tr>
      <w:tr w:rsidR="002400E4" w14:paraId="69B37A8D" w14:textId="77777777" w:rsidTr="00334D31">
        <w:tc>
          <w:tcPr>
            <w:tcW w:w="1980" w:type="dxa"/>
          </w:tcPr>
          <w:p w14:paraId="5FF38D78" w14:textId="77777777" w:rsidR="002400E4" w:rsidRDefault="003D2442">
            <w:pPr>
              <w:pStyle w:val="Compact"/>
            </w:pPr>
            <w:r>
              <w:t>Recent annual spend</w:t>
            </w:r>
          </w:p>
        </w:tc>
        <w:tc>
          <w:tcPr>
            <w:tcW w:w="1980" w:type="dxa"/>
          </w:tcPr>
          <w:p w14:paraId="0C294441" w14:textId="77777777" w:rsidR="002400E4" w:rsidRDefault="003D2442">
            <w:pPr>
              <w:pStyle w:val="Compact"/>
            </w:pPr>
            <w:r>
              <w:t>~$265M per year</w:t>
            </w:r>
          </w:p>
        </w:tc>
        <w:tc>
          <w:tcPr>
            <w:tcW w:w="1980" w:type="dxa"/>
          </w:tcPr>
          <w:p w14:paraId="4655457D" w14:textId="77777777" w:rsidR="002400E4" w:rsidRDefault="003D2442">
            <w:pPr>
              <w:pStyle w:val="Compact"/>
            </w:pPr>
            <w:r>
              <w:t>~$415M QIP investment requested for 2019 alone</w:t>
            </w:r>
          </w:p>
        </w:tc>
        <w:tc>
          <w:tcPr>
            <w:tcW w:w="1980" w:type="dxa"/>
          </w:tcPr>
          <w:p w14:paraId="199CDC0D" w14:textId="77777777" w:rsidR="002400E4" w:rsidRDefault="003D2442">
            <w:pPr>
              <w:pStyle w:val="Compact"/>
            </w:pPr>
            <w:r>
              <w:t>Rider QIP surcharge at 0.03 percent effective December 2025</w:t>
            </w:r>
          </w:p>
        </w:tc>
      </w:tr>
      <w:tr w:rsidR="002400E4" w14:paraId="02299C60" w14:textId="77777777" w:rsidTr="00334D31">
        <w:tc>
          <w:tcPr>
            <w:tcW w:w="1980" w:type="dxa"/>
          </w:tcPr>
          <w:p w14:paraId="413F04B0" w14:textId="77777777" w:rsidR="002400E4" w:rsidRDefault="003D2442">
            <w:pPr>
              <w:pStyle w:val="Compact"/>
            </w:pPr>
            <w:r>
              <w:t>Required forward pace</w:t>
            </w:r>
          </w:p>
        </w:tc>
        <w:tc>
          <w:tcPr>
            <w:tcW w:w="1980" w:type="dxa"/>
          </w:tcPr>
          <w:p w14:paraId="29B49C15" w14:textId="77777777" w:rsidR="002400E4" w:rsidRDefault="003D2442">
            <w:pPr>
              <w:pStyle w:val="Compact"/>
            </w:pPr>
            <w:r>
              <w:t>~$535M per year, 2028 to 2034</w:t>
            </w:r>
          </w:p>
        </w:tc>
        <w:tc>
          <w:tcPr>
            <w:tcW w:w="1980" w:type="dxa"/>
          </w:tcPr>
          <w:p w14:paraId="34073DED" w14:textId="77777777" w:rsidR="002400E4" w:rsidRDefault="003D2442">
            <w:pPr>
              <w:pStyle w:val="Compact"/>
            </w:pPr>
            <w:r>
              <w:t>not applicable</w:t>
            </w:r>
          </w:p>
        </w:tc>
        <w:tc>
          <w:tcPr>
            <w:tcW w:w="1980" w:type="dxa"/>
          </w:tcPr>
          <w:p w14:paraId="058BD6C5" w14:textId="77777777" w:rsidR="002400E4" w:rsidRDefault="003D2442">
            <w:pPr>
              <w:pStyle w:val="Compact"/>
            </w:pPr>
            <w:r>
              <w:t>not applicable</w:t>
            </w:r>
          </w:p>
        </w:tc>
      </w:tr>
      <w:tr w:rsidR="002400E4" w14:paraId="08F31C9F" w14:textId="77777777" w:rsidTr="00334D31">
        <w:tc>
          <w:tcPr>
            <w:tcW w:w="1980" w:type="dxa"/>
          </w:tcPr>
          <w:p w14:paraId="3D5B1E8D" w14:textId="77777777" w:rsidR="002400E4" w:rsidRDefault="003D2442">
            <w:pPr>
              <w:pStyle w:val="Compact"/>
            </w:pPr>
            <w:r>
              <w:t>Miles required per year</w:t>
            </w:r>
          </w:p>
        </w:tc>
        <w:tc>
          <w:tcPr>
            <w:tcW w:w="1980" w:type="dxa"/>
          </w:tcPr>
          <w:p w14:paraId="3513B9CE" w14:textId="77777777" w:rsidR="002400E4" w:rsidRDefault="003D2442">
            <w:pPr>
              <w:pStyle w:val="Compact"/>
            </w:pPr>
            <w:r>
              <w:t>133 against a recent rate of 59</w:t>
            </w:r>
          </w:p>
        </w:tc>
        <w:tc>
          <w:tcPr>
            <w:tcW w:w="1980" w:type="dxa"/>
          </w:tcPr>
          <w:p w14:paraId="1850F9B7" w14:textId="77777777" w:rsidR="002400E4" w:rsidRDefault="003D2442">
            <w:pPr>
              <w:pStyle w:val="Compact"/>
            </w:pPr>
            <w:r>
              <w:t xml:space="preserve">45 miles of distribution replacement proposed in 2026 </w:t>
            </w:r>
            <w:r>
              <w:lastRenderedPageBreak/>
              <w:t>case</w:t>
            </w:r>
          </w:p>
        </w:tc>
        <w:tc>
          <w:tcPr>
            <w:tcW w:w="1980" w:type="dxa"/>
          </w:tcPr>
          <w:p w14:paraId="109B8C8D" w14:textId="77777777" w:rsidR="002400E4" w:rsidRDefault="003D2442">
            <w:pPr>
              <w:pStyle w:val="Compact"/>
            </w:pPr>
            <w:r>
              <w:lastRenderedPageBreak/>
              <w:t>not comparably stated</w:t>
            </w:r>
          </w:p>
        </w:tc>
      </w:tr>
      <w:tr w:rsidR="002400E4" w14:paraId="2F9B29BA" w14:textId="77777777" w:rsidTr="00334D31">
        <w:tc>
          <w:tcPr>
            <w:tcW w:w="1980" w:type="dxa"/>
          </w:tcPr>
          <w:p w14:paraId="2AA4CC97" w14:textId="77777777" w:rsidR="002400E4" w:rsidRDefault="003D2442">
            <w:pPr>
              <w:pStyle w:val="Compact"/>
            </w:pPr>
            <w:r>
              <w:t>Independent monitor</w:t>
            </w:r>
          </w:p>
        </w:tc>
        <w:tc>
          <w:tcPr>
            <w:tcW w:w="1980" w:type="dxa"/>
          </w:tcPr>
          <w:p w14:paraId="27CAA2BE" w14:textId="77777777" w:rsidR="002400E4" w:rsidRDefault="003D2442">
            <w:pPr>
              <w:pStyle w:val="Compact"/>
            </w:pPr>
            <w:r>
              <w:t>Yes, Safety Monitor reporting annually from 2027</w:t>
            </w:r>
          </w:p>
        </w:tc>
        <w:tc>
          <w:tcPr>
            <w:tcW w:w="1980" w:type="dxa"/>
          </w:tcPr>
          <w:p w14:paraId="65804BD3" w14:textId="77777777" w:rsidR="002400E4" w:rsidRDefault="003D2442">
            <w:pPr>
              <w:pStyle w:val="Compact"/>
            </w:pPr>
            <w:r>
              <w:t>No</w:t>
            </w:r>
          </w:p>
        </w:tc>
        <w:tc>
          <w:tcPr>
            <w:tcW w:w="1980" w:type="dxa"/>
          </w:tcPr>
          <w:p w14:paraId="7C5AC6C2" w14:textId="77777777" w:rsidR="002400E4" w:rsidRDefault="003D2442">
            <w:pPr>
              <w:pStyle w:val="Compact"/>
            </w:pPr>
            <w:r>
              <w:t>No</w:t>
            </w:r>
          </w:p>
        </w:tc>
      </w:tr>
      <w:tr w:rsidR="002400E4" w14:paraId="4B735E8D" w14:textId="77777777" w:rsidTr="00334D31">
        <w:tc>
          <w:tcPr>
            <w:tcW w:w="1980" w:type="dxa"/>
          </w:tcPr>
          <w:p w14:paraId="3E2AADB6" w14:textId="77777777" w:rsidR="002400E4" w:rsidRDefault="003D2442">
            <w:pPr>
              <w:pStyle w:val="Compact"/>
            </w:pPr>
            <w:r>
              <w:t>Hard statutory or ordered deadline</w:t>
            </w:r>
          </w:p>
        </w:tc>
        <w:tc>
          <w:tcPr>
            <w:tcW w:w="1980" w:type="dxa"/>
          </w:tcPr>
          <w:p w14:paraId="4470E393" w14:textId="77777777" w:rsidR="002400E4" w:rsidRDefault="003D2442">
            <w:pPr>
              <w:pStyle w:val="Compact"/>
            </w:pPr>
            <w:r>
              <w:t>Yes, 2035</w:t>
            </w:r>
          </w:p>
        </w:tc>
        <w:tc>
          <w:tcPr>
            <w:tcW w:w="1980" w:type="dxa"/>
          </w:tcPr>
          <w:p w14:paraId="1A09B756" w14:textId="77777777" w:rsidR="002400E4" w:rsidRDefault="003D2442">
            <w:pPr>
              <w:pStyle w:val="Compact"/>
            </w:pPr>
            <w:r>
              <w:t>No</w:t>
            </w:r>
          </w:p>
        </w:tc>
        <w:tc>
          <w:tcPr>
            <w:tcW w:w="1980" w:type="dxa"/>
          </w:tcPr>
          <w:p w14:paraId="749A7119" w14:textId="77777777" w:rsidR="002400E4" w:rsidRDefault="003D2442">
            <w:pPr>
              <w:pStyle w:val="Compact"/>
            </w:pPr>
            <w:r>
              <w:t>No</w:t>
            </w:r>
          </w:p>
        </w:tc>
      </w:tr>
    </w:tbl>
    <w:p w14:paraId="6E25A506" w14:textId="77777777" w:rsidR="002400E4" w:rsidRDefault="003D2442">
      <w:pPr>
        <w:pStyle w:val="BodyText"/>
      </w:pPr>
      <w:r>
        <w:t xml:space="preserve">Sources: ICC February 20, </w:t>
      </w:r>
      <w:proofErr w:type="gramStart"/>
      <w:r>
        <w:t>2025</w:t>
      </w:r>
      <w:proofErr w:type="gramEnd"/>
      <w:r>
        <w:t xml:space="preserve"> order and press release; Nicor Gas 2026 rate request materials and Rider 32 tariff; Ameren Illinois Rider QIP informational filing of November 14, 2025.</w:t>
      </w:r>
    </w:p>
    <w:p w14:paraId="6374E333" w14:textId="77777777" w:rsidR="002400E4" w:rsidRDefault="003D2442">
      <w:pPr>
        <w:pStyle w:val="BodyText"/>
      </w:pPr>
      <w:r>
        <w:rPr>
          <w:b/>
          <w:bCs/>
        </w:rPr>
        <w:t>Why Peoples Gas is different, and why that only partly protects us.</w:t>
      </w:r>
      <w:r>
        <w:t xml:space="preserve"> </w:t>
      </w:r>
      <w:r>
        <w:t>Peoples Gas is the only Illinois gas utility operating under a Commission-ordered completion deadline with an independent monitor attached. That is unique. But the analytical standard the Commission applied to reach that outcome, that a utility must show need, timing, pace, and alternatives, has already been applied to Nicor and to Ameren in ordinary rate cases. The remedy is unique. The standard is not.</w:t>
      </w:r>
    </w:p>
    <w:p w14:paraId="6F2A911C" w14:textId="77777777" w:rsidR="002400E4" w:rsidRDefault="003D2442">
      <w:pPr>
        <w:pStyle w:val="Heading2"/>
      </w:pPr>
      <w:bookmarkStart w:id="23" w:name="affordability-benchmark"/>
      <w:bookmarkStart w:id="24" w:name="_Toc241591527"/>
      <w:bookmarkEnd w:id="21"/>
      <w:r>
        <w:t>1.5 Affordability Benchmark</w:t>
      </w:r>
      <w:bookmarkEnd w:id="24"/>
    </w:p>
    <w:tbl>
      <w:tblPr>
        <w:tblStyle w:val="Table"/>
        <w:tblW w:w="5000" w:type="pct"/>
        <w:tblLook w:val="0020" w:firstRow="1" w:lastRow="0" w:firstColumn="0" w:lastColumn="0" w:noHBand="0" w:noVBand="0"/>
      </w:tblPr>
      <w:tblGrid>
        <w:gridCol w:w="2335"/>
        <w:gridCol w:w="2335"/>
        <w:gridCol w:w="2335"/>
        <w:gridCol w:w="2335"/>
      </w:tblGrid>
      <w:tr w:rsidR="00881107" w14:paraId="1906C85F" w14:textId="77777777" w:rsidTr="00881107">
        <w:trPr>
          <w:cnfStyle w:val="100000000000" w:firstRow="1" w:lastRow="0" w:firstColumn="0" w:lastColumn="0" w:oddVBand="0" w:evenVBand="0" w:oddHBand="0" w:evenHBand="0" w:firstRowFirstColumn="0" w:firstRowLastColumn="0" w:lastRowFirstColumn="0" w:lastRowLastColumn="0"/>
          <w:trHeight w:val="560"/>
        </w:trPr>
        <w:tc>
          <w:tcPr>
            <w:tcW w:w="1980" w:type="dxa"/>
            <w:tcBorders>
              <w:top w:val="single" w:sz="8" w:space="0" w:color="0F4761"/>
              <w:left w:val="single" w:sz="8" w:space="0" w:color="0F4761"/>
              <w:bottom w:val="single" w:sz="8" w:space="0" w:color="0F4761"/>
              <w:right w:val="single" w:sz="8" w:space="0" w:color="0F4761"/>
            </w:tcBorders>
            <w:shd w:val="clear" w:color="auto" w:fill="0F4761"/>
            <w:hideMark/>
          </w:tcPr>
          <w:p w14:paraId="425A4CA3" w14:textId="77777777" w:rsidR="00881107" w:rsidRDefault="00881107">
            <w:pPr>
              <w:pStyle w:val="Compact"/>
              <w:jc w:val="center"/>
              <w:rPr>
                <w:color w:val="FFFFFF"/>
                <w:kern w:val="2"/>
                <w:sz w:val="20"/>
                <w:szCs w:val="20"/>
                <w14:ligatures w14:val="standardContextual"/>
              </w:rPr>
            </w:pPr>
            <w:r>
              <w:rPr>
                <w:b/>
                <w:bCs/>
                <w:color w:val="FFFFFF"/>
                <w:sz w:val="20"/>
                <w:szCs w:val="20"/>
              </w:rPr>
              <w:t>Measure</w:t>
            </w:r>
          </w:p>
        </w:tc>
        <w:tc>
          <w:tcPr>
            <w:tcW w:w="1980" w:type="dxa"/>
            <w:tcBorders>
              <w:top w:val="single" w:sz="8" w:space="0" w:color="0F4761"/>
              <w:left w:val="single" w:sz="8" w:space="0" w:color="0F4761"/>
              <w:bottom w:val="single" w:sz="8" w:space="0" w:color="0F4761"/>
              <w:right w:val="single" w:sz="8" w:space="0" w:color="0F4761"/>
            </w:tcBorders>
            <w:shd w:val="clear" w:color="auto" w:fill="0F4761"/>
            <w:hideMark/>
          </w:tcPr>
          <w:p w14:paraId="1D3AF3D7" w14:textId="77777777" w:rsidR="00881107" w:rsidRDefault="00881107">
            <w:pPr>
              <w:pStyle w:val="Compact"/>
              <w:jc w:val="center"/>
              <w:rPr>
                <w:color w:val="FFFFFF"/>
                <w:sz w:val="20"/>
                <w:szCs w:val="20"/>
              </w:rPr>
            </w:pPr>
            <w:r>
              <w:rPr>
                <w:b/>
                <w:bCs/>
                <w:color w:val="FFFFFF"/>
                <w:sz w:val="20"/>
                <w:szCs w:val="20"/>
              </w:rPr>
              <w:t>Peoples Gas</w:t>
            </w:r>
          </w:p>
        </w:tc>
        <w:tc>
          <w:tcPr>
            <w:tcW w:w="1980" w:type="dxa"/>
            <w:tcBorders>
              <w:top w:val="single" w:sz="8" w:space="0" w:color="0F4761"/>
              <w:left w:val="single" w:sz="8" w:space="0" w:color="0F4761"/>
              <w:bottom w:val="single" w:sz="8" w:space="0" w:color="0F4761"/>
              <w:right w:val="single" w:sz="8" w:space="0" w:color="0F4761"/>
            </w:tcBorders>
            <w:shd w:val="clear" w:color="auto" w:fill="0F4761"/>
            <w:hideMark/>
          </w:tcPr>
          <w:p w14:paraId="79A944C9" w14:textId="77777777" w:rsidR="00881107" w:rsidRDefault="00881107">
            <w:pPr>
              <w:pStyle w:val="Compact"/>
              <w:jc w:val="center"/>
              <w:rPr>
                <w:color w:val="FFFFFF"/>
                <w:sz w:val="20"/>
                <w:szCs w:val="20"/>
              </w:rPr>
            </w:pPr>
            <w:r>
              <w:rPr>
                <w:b/>
                <w:bCs/>
                <w:color w:val="FFFFFF"/>
                <w:sz w:val="20"/>
                <w:szCs w:val="20"/>
              </w:rPr>
              <w:t>Nicor Gas</w:t>
            </w:r>
          </w:p>
        </w:tc>
        <w:tc>
          <w:tcPr>
            <w:tcW w:w="1980" w:type="dxa"/>
            <w:tcBorders>
              <w:top w:val="single" w:sz="8" w:space="0" w:color="0F4761"/>
              <w:left w:val="single" w:sz="8" w:space="0" w:color="0F4761"/>
              <w:bottom w:val="single" w:sz="8" w:space="0" w:color="0F4761"/>
              <w:right w:val="single" w:sz="8" w:space="0" w:color="0F4761"/>
            </w:tcBorders>
            <w:shd w:val="clear" w:color="auto" w:fill="0F4761"/>
            <w:hideMark/>
          </w:tcPr>
          <w:p w14:paraId="6DC0D05F" w14:textId="77777777" w:rsidR="00881107" w:rsidRDefault="00881107">
            <w:pPr>
              <w:pStyle w:val="Compact"/>
              <w:jc w:val="center"/>
              <w:rPr>
                <w:color w:val="FFFFFF"/>
                <w:sz w:val="20"/>
                <w:szCs w:val="20"/>
              </w:rPr>
            </w:pPr>
            <w:r>
              <w:rPr>
                <w:b/>
                <w:bCs/>
                <w:color w:val="FFFFFF"/>
                <w:sz w:val="20"/>
                <w:szCs w:val="20"/>
              </w:rPr>
              <w:t>Ameren Illinois</w:t>
            </w:r>
          </w:p>
        </w:tc>
      </w:tr>
    </w:tbl>
    <w:tbl>
      <w:tblPr>
        <w:tblStyle w:val="Table"/>
        <w:tblW w:w="5000" w:type="pct"/>
        <w:tblLook w:val="0020" w:firstRow="1" w:lastRow="0" w:firstColumn="0" w:lastColumn="0" w:noHBand="0" w:noVBand="0"/>
      </w:tblPr>
      <w:tblGrid>
        <w:gridCol w:w="2337"/>
        <w:gridCol w:w="2337"/>
        <w:gridCol w:w="2338"/>
        <w:gridCol w:w="2338"/>
      </w:tblGrid>
      <w:tr w:rsidR="00881107" w14:paraId="65E50724" w14:textId="77777777" w:rsidTr="00881107">
        <w:trPr>
          <w:cnfStyle w:val="100000000000" w:firstRow="1" w:lastRow="0" w:firstColumn="0" w:lastColumn="0" w:oddVBand="0" w:evenVBand="0" w:oddHBand="0" w:evenHBand="0" w:firstRowFirstColumn="0" w:firstRowLastColumn="0" w:lastRowFirstColumn="0" w:lastRowLastColumn="0"/>
          <w:trHeight w:val="480"/>
        </w:trPr>
        <w:tc>
          <w:tcPr>
            <w:tcW w:w="1980" w:type="dxa"/>
            <w:tcBorders>
              <w:top w:val="single" w:sz="4" w:space="0" w:color="B4C6E7"/>
              <w:left w:val="single" w:sz="4" w:space="0" w:color="B4C6E7"/>
              <w:bottom w:val="single" w:sz="4" w:space="0" w:color="B4C6E7"/>
              <w:right w:val="single" w:sz="4" w:space="0" w:color="B4C6E7"/>
            </w:tcBorders>
            <w:shd w:val="clear" w:color="auto" w:fill="DDEBF7"/>
            <w:vAlign w:val="center"/>
            <w:hideMark/>
          </w:tcPr>
          <w:p w14:paraId="45B5FD31" w14:textId="77777777" w:rsidR="00881107" w:rsidRDefault="00881107">
            <w:pPr>
              <w:pStyle w:val="Compact"/>
              <w:rPr>
                <w:kern w:val="2"/>
                <w14:ligatures w14:val="standardContextual"/>
              </w:rPr>
            </w:pPr>
            <w:r>
              <w:rPr>
                <w:b/>
                <w:bCs/>
              </w:rPr>
              <w:t>Customers served</w:t>
            </w:r>
          </w:p>
        </w:tc>
        <w:tc>
          <w:tcPr>
            <w:tcW w:w="1980" w:type="dxa"/>
            <w:tcBorders>
              <w:top w:val="single" w:sz="4" w:space="0" w:color="B4C6E7"/>
              <w:left w:val="single" w:sz="4" w:space="0" w:color="B4C6E7"/>
              <w:bottom w:val="single" w:sz="4" w:space="0" w:color="B4C6E7"/>
              <w:right w:val="single" w:sz="4" w:space="0" w:color="B4C6E7"/>
            </w:tcBorders>
            <w:shd w:val="clear" w:color="auto" w:fill="DDEBF7"/>
            <w:vAlign w:val="center"/>
            <w:hideMark/>
          </w:tcPr>
          <w:p w14:paraId="71BF171E" w14:textId="77777777" w:rsidR="00881107" w:rsidRDefault="00881107">
            <w:pPr>
              <w:pStyle w:val="Compact"/>
            </w:pPr>
            <w:r>
              <w:t>~880,000 in Chicago</w:t>
            </w:r>
          </w:p>
        </w:tc>
        <w:tc>
          <w:tcPr>
            <w:tcW w:w="1980" w:type="dxa"/>
            <w:tcBorders>
              <w:top w:val="single" w:sz="4" w:space="0" w:color="B4C6E7"/>
              <w:left w:val="single" w:sz="4" w:space="0" w:color="B4C6E7"/>
              <w:bottom w:val="single" w:sz="4" w:space="0" w:color="B4C6E7"/>
              <w:right w:val="single" w:sz="4" w:space="0" w:color="B4C6E7"/>
            </w:tcBorders>
            <w:shd w:val="clear" w:color="auto" w:fill="DDEBF7"/>
            <w:vAlign w:val="center"/>
            <w:hideMark/>
          </w:tcPr>
          <w:p w14:paraId="4AE6BD54" w14:textId="77777777" w:rsidR="00881107" w:rsidRDefault="00881107">
            <w:pPr>
              <w:pStyle w:val="Compact"/>
            </w:pPr>
            <w:r>
              <w:t>2.3 million across 650+ communities</w:t>
            </w:r>
          </w:p>
        </w:tc>
        <w:tc>
          <w:tcPr>
            <w:tcW w:w="1980" w:type="dxa"/>
            <w:tcBorders>
              <w:top w:val="single" w:sz="4" w:space="0" w:color="B4C6E7"/>
              <w:left w:val="single" w:sz="4" w:space="0" w:color="B4C6E7"/>
              <w:bottom w:val="single" w:sz="4" w:space="0" w:color="B4C6E7"/>
              <w:right w:val="single" w:sz="4" w:space="0" w:color="B4C6E7"/>
            </w:tcBorders>
            <w:shd w:val="clear" w:color="auto" w:fill="DDEBF7"/>
            <w:vAlign w:val="center"/>
            <w:hideMark/>
          </w:tcPr>
          <w:p w14:paraId="10FA1ADB" w14:textId="77777777" w:rsidR="00881107" w:rsidRDefault="00881107">
            <w:pPr>
              <w:pStyle w:val="Compact"/>
            </w:pPr>
            <w:r>
              <w:t xml:space="preserve">1.2 million </w:t>
            </w:r>
            <w:proofErr w:type="gramStart"/>
            <w:r>
              <w:t>electric</w:t>
            </w:r>
            <w:proofErr w:type="gramEnd"/>
            <w:r>
              <w:t>, plus gas customers in central and southern Illinois</w:t>
            </w:r>
          </w:p>
        </w:tc>
      </w:tr>
    </w:tbl>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2400E4" w14:paraId="62B4DD5A" w14:textId="77777777" w:rsidTr="00334D31">
        <w:trPr>
          <w:cnfStyle w:val="100000000000" w:firstRow="1" w:lastRow="0" w:firstColumn="0" w:lastColumn="0" w:oddVBand="0" w:evenVBand="0" w:oddHBand="0" w:evenHBand="0" w:firstRowFirstColumn="0" w:firstRowLastColumn="0" w:lastRowFirstColumn="0" w:lastRowLastColumn="0"/>
        </w:trPr>
        <w:tc>
          <w:tcPr>
            <w:tcW w:w="1980" w:type="dxa"/>
            <w:tcBorders>
              <w:bottom w:val="none" w:sz="0" w:space="0" w:color="auto"/>
            </w:tcBorders>
          </w:tcPr>
          <w:p w14:paraId="678E6F05" w14:textId="77777777" w:rsidR="002400E4" w:rsidRDefault="003D2442">
            <w:pPr>
              <w:pStyle w:val="Compact"/>
            </w:pPr>
            <w:r>
              <w:t>Residential arrearage rate</w:t>
            </w:r>
          </w:p>
        </w:tc>
        <w:tc>
          <w:tcPr>
            <w:tcW w:w="1980" w:type="dxa"/>
            <w:tcBorders>
              <w:bottom w:val="none" w:sz="0" w:space="0" w:color="auto"/>
            </w:tcBorders>
          </w:tcPr>
          <w:p w14:paraId="3D9B0FC4" w14:textId="77777777" w:rsidR="002400E4" w:rsidRDefault="003D2442">
            <w:pPr>
              <w:pStyle w:val="Compact"/>
            </w:pPr>
            <w:r>
              <w:t>Nearly one in five more than 30 days behind, August 2026</w:t>
            </w:r>
          </w:p>
        </w:tc>
        <w:tc>
          <w:tcPr>
            <w:tcW w:w="1980" w:type="dxa"/>
            <w:tcBorders>
              <w:bottom w:val="none" w:sz="0" w:space="0" w:color="auto"/>
            </w:tcBorders>
          </w:tcPr>
          <w:p w14:paraId="285FAB9A" w14:textId="77777777" w:rsidR="002400E4" w:rsidRDefault="003D2442">
            <w:pPr>
              <w:pStyle w:val="Compact"/>
            </w:pPr>
            <w:r>
              <w:t>not comparably reported</w:t>
            </w:r>
          </w:p>
        </w:tc>
        <w:tc>
          <w:tcPr>
            <w:tcW w:w="1980" w:type="dxa"/>
            <w:tcBorders>
              <w:bottom w:val="none" w:sz="0" w:space="0" w:color="auto"/>
            </w:tcBorders>
          </w:tcPr>
          <w:p w14:paraId="75E58B9C" w14:textId="77777777" w:rsidR="002400E4" w:rsidRDefault="003D2442">
            <w:pPr>
              <w:pStyle w:val="Compact"/>
            </w:pPr>
            <w:r>
              <w:t>not comparably reported</w:t>
            </w:r>
          </w:p>
        </w:tc>
      </w:tr>
      <w:tr w:rsidR="002400E4" w14:paraId="4D4AC243" w14:textId="77777777" w:rsidTr="00334D31">
        <w:tc>
          <w:tcPr>
            <w:tcW w:w="1980" w:type="dxa"/>
          </w:tcPr>
          <w:p w14:paraId="37653D27" w14:textId="77777777" w:rsidR="002400E4" w:rsidRDefault="003D2442">
            <w:pPr>
              <w:pStyle w:val="Compact"/>
            </w:pPr>
            <w:r>
              <w:t>Aggregate arrears</w:t>
            </w:r>
          </w:p>
        </w:tc>
        <w:tc>
          <w:tcPr>
            <w:tcW w:w="1980" w:type="dxa"/>
          </w:tcPr>
          <w:p w14:paraId="7EF231BD" w14:textId="77777777" w:rsidR="002400E4" w:rsidRDefault="003D2442">
            <w:pPr>
              <w:pStyle w:val="Compact"/>
            </w:pPr>
            <w:r>
              <w:t>Over $92M, roughly 162,000 customers, averaging ~$570</w:t>
            </w:r>
          </w:p>
        </w:tc>
        <w:tc>
          <w:tcPr>
            <w:tcW w:w="1980" w:type="dxa"/>
          </w:tcPr>
          <w:p w14:paraId="7AA55F40" w14:textId="77777777" w:rsidR="002400E4" w:rsidRDefault="003D2442">
            <w:pPr>
              <w:pStyle w:val="Compact"/>
            </w:pPr>
            <w:r>
              <w:t>not comparably reported</w:t>
            </w:r>
          </w:p>
        </w:tc>
        <w:tc>
          <w:tcPr>
            <w:tcW w:w="1980" w:type="dxa"/>
          </w:tcPr>
          <w:p w14:paraId="69861D0B" w14:textId="77777777" w:rsidR="002400E4" w:rsidRDefault="003D2442">
            <w:pPr>
              <w:pStyle w:val="Compact"/>
            </w:pPr>
            <w:r>
              <w:t>not comparably reported</w:t>
            </w:r>
          </w:p>
        </w:tc>
      </w:tr>
      <w:tr w:rsidR="002400E4" w14:paraId="3AD903E5" w14:textId="77777777" w:rsidTr="00334D31">
        <w:tc>
          <w:tcPr>
            <w:tcW w:w="1980" w:type="dxa"/>
          </w:tcPr>
          <w:p w14:paraId="69293F3F" w14:textId="77777777" w:rsidR="002400E4" w:rsidRDefault="003D2442">
            <w:pPr>
              <w:pStyle w:val="Compact"/>
            </w:pPr>
            <w:r>
              <w:t>Stated bill impact of pending request</w:t>
            </w:r>
          </w:p>
        </w:tc>
        <w:tc>
          <w:tcPr>
            <w:tcW w:w="1980" w:type="dxa"/>
          </w:tcPr>
          <w:p w14:paraId="7D417B5A" w14:textId="77777777" w:rsidR="002400E4" w:rsidRDefault="003D2442">
            <w:pPr>
              <w:pStyle w:val="Compact"/>
            </w:pPr>
            <w:r>
              <w:t>$7 to $8 per month at $144M, from $10 to $11 at $202M</w:t>
            </w:r>
          </w:p>
        </w:tc>
        <w:tc>
          <w:tcPr>
            <w:tcW w:w="1980" w:type="dxa"/>
          </w:tcPr>
          <w:p w14:paraId="15C001C7" w14:textId="77777777" w:rsidR="002400E4" w:rsidRDefault="003D2442">
            <w:pPr>
              <w:pStyle w:val="Compact"/>
            </w:pPr>
            <w:r>
              <w:t>Less than $6 per month, described as a 6.7 percent annual increase</w:t>
            </w:r>
          </w:p>
        </w:tc>
        <w:tc>
          <w:tcPr>
            <w:tcW w:w="1980" w:type="dxa"/>
          </w:tcPr>
          <w:p w14:paraId="7FD7F9D7" w14:textId="77777777" w:rsidR="002400E4" w:rsidRDefault="003D2442">
            <w:pPr>
              <w:pStyle w:val="Compact"/>
            </w:pPr>
            <w:r>
              <w:t>varies by class</w:t>
            </w:r>
          </w:p>
        </w:tc>
      </w:tr>
      <w:tr w:rsidR="002400E4" w14:paraId="02CEC480" w14:textId="77777777" w:rsidTr="00334D31">
        <w:tc>
          <w:tcPr>
            <w:tcW w:w="1980" w:type="dxa"/>
          </w:tcPr>
          <w:p w14:paraId="2E1CD1B1" w14:textId="77777777" w:rsidR="002400E4" w:rsidRDefault="003D2442">
            <w:pPr>
              <w:pStyle w:val="Compact"/>
            </w:pPr>
            <w:proofErr w:type="gramStart"/>
            <w:r>
              <w:t>Low income</w:t>
            </w:r>
            <w:proofErr w:type="gramEnd"/>
            <w:r>
              <w:t xml:space="preserve"> discount</w:t>
            </w:r>
          </w:p>
        </w:tc>
        <w:tc>
          <w:tcPr>
            <w:tcW w:w="1980" w:type="dxa"/>
          </w:tcPr>
          <w:p w14:paraId="47C79BC8" w14:textId="77777777" w:rsidR="002400E4" w:rsidRDefault="003D2442">
            <w:pPr>
              <w:pStyle w:val="Compact"/>
            </w:pPr>
            <w:r>
              <w:t>Up to 83 percent for qualifying customers, established 2023</w:t>
            </w:r>
          </w:p>
        </w:tc>
        <w:tc>
          <w:tcPr>
            <w:tcW w:w="1980" w:type="dxa"/>
          </w:tcPr>
          <w:p w14:paraId="775C3DE6" w14:textId="77777777" w:rsidR="002400E4" w:rsidRDefault="003D2442">
            <w:pPr>
              <w:pStyle w:val="Compact"/>
            </w:pPr>
            <w:r>
              <w:t>Commission ordered a 3 percent energy burden standard, Nov 2025</w:t>
            </w:r>
          </w:p>
        </w:tc>
        <w:tc>
          <w:tcPr>
            <w:tcW w:w="1980" w:type="dxa"/>
          </w:tcPr>
          <w:p w14:paraId="759A1B47" w14:textId="77777777" w:rsidR="002400E4" w:rsidRDefault="003D2442">
            <w:pPr>
              <w:pStyle w:val="Compact"/>
            </w:pPr>
            <w:r>
              <w:t>Commission ordered a 3 percent energy burden standard, Nov 2025</w:t>
            </w:r>
          </w:p>
        </w:tc>
      </w:tr>
    </w:tbl>
    <w:p w14:paraId="3A5C15C0" w14:textId="77777777" w:rsidR="002400E4" w:rsidRDefault="003D2442">
      <w:pPr>
        <w:pStyle w:val="BodyText"/>
      </w:pPr>
      <w:r>
        <w:t xml:space="preserve">Sources: Capitol News Illinois reporting of September 29, 2026; Nicor Gas 2026 Rate Request At-A-Glance; ICC press releases of November 19, </w:t>
      </w:r>
      <w:proofErr w:type="gramStart"/>
      <w:r>
        <w:t>2025</w:t>
      </w:r>
      <w:proofErr w:type="gramEnd"/>
      <w:r>
        <w:t xml:space="preserve"> and November 2023.</w:t>
      </w:r>
    </w:p>
    <w:p w14:paraId="49518E16" w14:textId="77777777" w:rsidR="002400E4" w:rsidRDefault="003D2442">
      <w:pPr>
        <w:pStyle w:val="BodyText"/>
      </w:pPr>
      <w:r>
        <w:rPr>
          <w:b/>
          <w:bCs/>
        </w:rPr>
        <w:lastRenderedPageBreak/>
        <w:t>The comparison Nicor is making and we should note.</w:t>
      </w:r>
      <w:r>
        <w:t xml:space="preserve"> Nicor’s public framing leads with the claim that its distribution rates remain among the lowest of any major Illinois gas distribution company and that approximately 66 percent of its investment meets pre-existing obligations. That is a sophisticated affordability defense: it pairs a comparative rate claim with a non-discretionary spending claim. It is worth studying as a communications model.</w:t>
      </w:r>
    </w:p>
    <w:p w14:paraId="02B3C679" w14:textId="77777777" w:rsidR="002400E4" w:rsidRDefault="003D2442">
      <w:pPr>
        <w:pStyle w:val="Heading2"/>
      </w:pPr>
      <w:bookmarkStart w:id="25" w:name="the-three-number-summary"/>
      <w:bookmarkStart w:id="26" w:name="_Toc241591528"/>
      <w:bookmarkEnd w:id="23"/>
      <w:r>
        <w:t>1.6 The Three-Number Summary</w:t>
      </w:r>
      <w:bookmarkEnd w:id="26"/>
    </w:p>
    <w:p w14:paraId="10AC90C4" w14:textId="77777777" w:rsidR="002400E4" w:rsidRDefault="003D2442">
      <w:pPr>
        <w:pStyle w:val="FirstParagraph"/>
      </w:pPr>
      <w:r>
        <w:t>If you remember nothing else from this section, remember these.</w:t>
      </w:r>
    </w:p>
    <w:p w14:paraId="0485011F" w14:textId="77777777" w:rsidR="002400E4" w:rsidRDefault="003D2442">
      <w:pPr>
        <w:pStyle w:val="BodyText"/>
      </w:pPr>
      <w:r>
        <w:rPr>
          <w:b/>
          <w:bCs/>
        </w:rPr>
        <w:t>9.60 percent.</w:t>
      </w:r>
      <w:r>
        <w:t xml:space="preserve"> The authorized return the Commission gave both Nicor and Ameren Illinois gas in November 2025, against requests of 10.35 and 10.70 percent. This is the current Illinois gas benchmark.</w:t>
      </w:r>
    </w:p>
    <w:p w14:paraId="1A33D79C" w14:textId="77777777" w:rsidR="002400E4" w:rsidRDefault="003D2442">
      <w:pPr>
        <w:pStyle w:val="BodyText"/>
      </w:pPr>
      <w:r>
        <w:rPr>
          <w:b/>
          <w:bCs/>
        </w:rPr>
        <w:t>43 to 47 percent.</w:t>
      </w:r>
      <w:r>
        <w:t xml:space="preserve"> The range by which the Commission cut those two gas requests. </w:t>
      </w:r>
      <w:proofErr w:type="gramStart"/>
      <w:r>
        <w:t>Peoples</w:t>
      </w:r>
      <w:proofErr w:type="gramEnd"/>
      <w:r>
        <w:t xml:space="preserve"> Gas at 25 percent in 2023 was treated comparatively gently.</w:t>
      </w:r>
    </w:p>
    <w:p w14:paraId="72248C6D" w14:textId="77777777" w:rsidR="002400E4" w:rsidRDefault="003D2442">
      <w:pPr>
        <w:pStyle w:val="BodyText"/>
      </w:pPr>
      <w:r>
        <w:rPr>
          <w:b/>
          <w:bCs/>
        </w:rPr>
        <w:t>75 percent.</w:t>
      </w:r>
      <w:r>
        <w:t xml:space="preserve"> </w:t>
      </w:r>
      <w:r>
        <w:t>The cut to Ameren’s electric grid plan spending in December 2024. The deepest in the cycle, and ours.</w:t>
      </w:r>
    </w:p>
    <w:p w14:paraId="48C641CF" w14:textId="77777777" w:rsidR="00344D60" w:rsidRDefault="00344D60">
      <w:pPr>
        <w:pStyle w:val="BodyText"/>
        <w:rPr>
          <w:kern w:val="2"/>
          <w14:ligatures w14:val="standardContextual"/>
        </w:rPr>
      </w:pPr>
      <w:r>
        <w:rPr>
          <w:b/>
          <w:bCs/>
        </w:rPr>
        <w:t>Plain-language script.</w:t>
      </w:r>
      <w:r>
        <w:t xml:space="preserve"> The main point of these comparisons is not that every case is identical. It is that the ICC has repeatedly approved less spending and lower returns than utilities requested. Recent gas cases were cut by roughly 43 to 47 percent, Ameren Illinois’s electric grid plan spending was cut by about 75 percent, and recent authorized gas returns have not exceeded 9.60 percent. Peoples Gas is unique in being subject to a 2035 deadline and an independent monitor, but the Commission’s questions about need, timing, pace, alternatives, affordability, and customer benefit are already being applied across Illinois utility proceedings. Ameren Illinois should treat that standard, and its own prior outcomes, as the baseline for the next MYIGP.</w:t>
      </w:r>
    </w:p>
    <w:p w14:paraId="6A05A809" w14:textId="77777777" w:rsidR="002400E4" w:rsidRDefault="003D2442">
      <w:r>
        <w:pict w14:anchorId="24927B7B">
          <v:rect id="_x0000_i1029" style="width:0;height:1.5pt" o:hralign="center" o:hrstd="t" o:hr="t"/>
        </w:pict>
      </w:r>
    </w:p>
    <w:p w14:paraId="116391D2" w14:textId="77777777" w:rsidR="002400E4" w:rsidRDefault="003D2442">
      <w:pPr>
        <w:pStyle w:val="Heading1"/>
      </w:pPr>
      <w:bookmarkStart w:id="27" w:name="X7a7bc286efcde21b9f81a9723372855394efd63"/>
      <w:bookmarkStart w:id="28" w:name="_Toc241588817"/>
      <w:bookmarkStart w:id="29" w:name="_Toc241591529"/>
      <w:bookmarkEnd w:id="12"/>
      <w:bookmarkEnd w:id="25"/>
      <w:r>
        <w:t>Section 2. Financial Fact Check of the Letter</w:t>
      </w:r>
      <w:bookmarkEnd w:id="28"/>
      <w:bookmarkEnd w:id="29"/>
    </w:p>
    <w:tbl>
      <w:tblPr>
        <w:tblStyle w:val="Table"/>
        <w:tblW w:w="5000" w:type="pct"/>
        <w:tblLook w:val="0020" w:firstRow="1" w:lastRow="0" w:firstColumn="0" w:lastColumn="0" w:noHBand="0" w:noVBand="0"/>
      </w:tblPr>
      <w:tblGrid>
        <w:gridCol w:w="3114"/>
        <w:gridCol w:w="3113"/>
        <w:gridCol w:w="3113"/>
      </w:tblGrid>
      <w:tr w:rsidR="00881107" w14:paraId="00865125" w14:textId="77777777" w:rsidTr="00881107">
        <w:trPr>
          <w:cnfStyle w:val="100000000000" w:firstRow="1" w:lastRow="0" w:firstColumn="0" w:lastColumn="0" w:oddVBand="0" w:evenVBand="0" w:oddHBand="0" w:evenHBand="0" w:firstRowFirstColumn="0" w:firstRowLastColumn="0" w:lastRowFirstColumn="0" w:lastRowLastColumn="0"/>
          <w:trHeight w:val="560"/>
        </w:trPr>
        <w:tc>
          <w:tcPr>
            <w:tcW w:w="2640" w:type="dxa"/>
            <w:tcBorders>
              <w:top w:val="single" w:sz="8" w:space="0" w:color="0F4761"/>
              <w:left w:val="single" w:sz="8" w:space="0" w:color="0F4761"/>
              <w:bottom w:val="single" w:sz="8" w:space="0" w:color="0F4761"/>
              <w:right w:val="single" w:sz="8" w:space="0" w:color="0F4761"/>
            </w:tcBorders>
            <w:shd w:val="clear" w:color="auto" w:fill="0F4761"/>
            <w:hideMark/>
          </w:tcPr>
          <w:p w14:paraId="5E8EB6C6" w14:textId="77777777" w:rsidR="00881107" w:rsidRDefault="00881107">
            <w:pPr>
              <w:pStyle w:val="Compact"/>
              <w:jc w:val="center"/>
              <w:rPr>
                <w:color w:val="FFFFFF"/>
                <w:kern w:val="2"/>
                <w:sz w:val="20"/>
                <w:szCs w:val="20"/>
                <w14:ligatures w14:val="standardContextual"/>
              </w:rPr>
            </w:pPr>
            <w:r>
              <w:rPr>
                <w:b/>
                <w:bCs/>
                <w:color w:val="FFFFFF"/>
                <w:sz w:val="20"/>
                <w:szCs w:val="20"/>
              </w:rPr>
              <w:t>Claim</w:t>
            </w:r>
          </w:p>
        </w:tc>
        <w:tc>
          <w:tcPr>
            <w:tcW w:w="2640" w:type="dxa"/>
            <w:tcBorders>
              <w:top w:val="single" w:sz="8" w:space="0" w:color="0F4761"/>
              <w:left w:val="single" w:sz="8" w:space="0" w:color="0F4761"/>
              <w:bottom w:val="single" w:sz="8" w:space="0" w:color="0F4761"/>
              <w:right w:val="single" w:sz="8" w:space="0" w:color="0F4761"/>
            </w:tcBorders>
            <w:shd w:val="clear" w:color="auto" w:fill="0F4761"/>
            <w:hideMark/>
          </w:tcPr>
          <w:p w14:paraId="2406BCB9" w14:textId="77777777" w:rsidR="00881107" w:rsidRDefault="00881107">
            <w:pPr>
              <w:pStyle w:val="Compact"/>
              <w:jc w:val="center"/>
              <w:rPr>
                <w:color w:val="FFFFFF"/>
                <w:sz w:val="20"/>
                <w:szCs w:val="20"/>
              </w:rPr>
            </w:pPr>
            <w:r>
              <w:rPr>
                <w:b/>
                <w:bCs/>
                <w:color w:val="FFFFFF"/>
                <w:sz w:val="20"/>
                <w:szCs w:val="20"/>
              </w:rPr>
              <w:t>Verdict</w:t>
            </w:r>
          </w:p>
        </w:tc>
        <w:tc>
          <w:tcPr>
            <w:tcW w:w="2640" w:type="dxa"/>
            <w:tcBorders>
              <w:top w:val="single" w:sz="8" w:space="0" w:color="0F4761"/>
              <w:left w:val="single" w:sz="8" w:space="0" w:color="0F4761"/>
              <w:bottom w:val="single" w:sz="8" w:space="0" w:color="0F4761"/>
              <w:right w:val="single" w:sz="8" w:space="0" w:color="0F4761"/>
            </w:tcBorders>
            <w:shd w:val="clear" w:color="auto" w:fill="0F4761"/>
            <w:hideMark/>
          </w:tcPr>
          <w:p w14:paraId="3182C32D" w14:textId="77777777" w:rsidR="00881107" w:rsidRDefault="00881107">
            <w:pPr>
              <w:pStyle w:val="Compact"/>
              <w:jc w:val="center"/>
              <w:rPr>
                <w:color w:val="FFFFFF"/>
                <w:sz w:val="20"/>
                <w:szCs w:val="20"/>
              </w:rPr>
            </w:pPr>
            <w:r>
              <w:rPr>
                <w:b/>
                <w:bCs/>
                <w:color w:val="FFFFFF"/>
                <w:sz w:val="20"/>
                <w:szCs w:val="20"/>
              </w:rPr>
              <w:t>Basis</w:t>
            </w:r>
          </w:p>
        </w:tc>
      </w:tr>
    </w:tbl>
    <w:tbl>
      <w:tblPr>
        <w:tblStyle w:val="Table"/>
        <w:tblW w:w="5000" w:type="pct"/>
        <w:tblLook w:val="0020" w:firstRow="1" w:lastRow="0" w:firstColumn="0" w:lastColumn="0" w:noHBand="0" w:noVBand="0"/>
      </w:tblPr>
      <w:tblGrid>
        <w:gridCol w:w="3116"/>
        <w:gridCol w:w="3117"/>
        <w:gridCol w:w="3117"/>
      </w:tblGrid>
      <w:tr w:rsidR="00881107" w14:paraId="5BFE7D8E" w14:textId="77777777" w:rsidTr="00881107">
        <w:trPr>
          <w:cnfStyle w:val="100000000000" w:firstRow="1" w:lastRow="0" w:firstColumn="0" w:lastColumn="0" w:oddVBand="0" w:evenVBand="0" w:oddHBand="0" w:evenHBand="0" w:firstRowFirstColumn="0" w:firstRowLastColumn="0" w:lastRowFirstColumn="0" w:lastRowLastColumn="0"/>
          <w:trHeight w:val="480"/>
        </w:trPr>
        <w:tc>
          <w:tcPr>
            <w:tcW w:w="2640" w:type="dxa"/>
            <w:tcBorders>
              <w:top w:val="single" w:sz="4" w:space="0" w:color="B4C6E7"/>
              <w:left w:val="single" w:sz="4" w:space="0" w:color="B4C6E7"/>
              <w:bottom w:val="single" w:sz="4" w:space="0" w:color="B4C6E7"/>
              <w:right w:val="single" w:sz="4" w:space="0" w:color="B4C6E7"/>
            </w:tcBorders>
            <w:shd w:val="clear" w:color="auto" w:fill="DDEBF7"/>
            <w:vAlign w:val="center"/>
            <w:hideMark/>
          </w:tcPr>
          <w:p w14:paraId="67F0D963" w14:textId="77777777" w:rsidR="00881107" w:rsidRDefault="00881107">
            <w:pPr>
              <w:pStyle w:val="Compact"/>
              <w:rPr>
                <w:kern w:val="2"/>
                <w14:ligatures w14:val="standardContextual"/>
              </w:rPr>
            </w:pPr>
            <w:r>
              <w:rPr>
                <w:b/>
                <w:bCs/>
              </w:rPr>
              <w:t>Largest gas rate hike in Illinois history in 2023</w:t>
            </w:r>
          </w:p>
        </w:tc>
        <w:tc>
          <w:tcPr>
            <w:tcW w:w="2640" w:type="dxa"/>
            <w:tcBorders>
              <w:top w:val="single" w:sz="4" w:space="0" w:color="B4C6E7"/>
              <w:left w:val="single" w:sz="4" w:space="0" w:color="B4C6E7"/>
              <w:bottom w:val="single" w:sz="4" w:space="0" w:color="B4C6E7"/>
              <w:right w:val="single" w:sz="4" w:space="0" w:color="B4C6E7"/>
            </w:tcBorders>
            <w:shd w:val="clear" w:color="auto" w:fill="DDEBF7"/>
            <w:vAlign w:val="center"/>
            <w:hideMark/>
          </w:tcPr>
          <w:p w14:paraId="1DD086E7" w14:textId="77777777" w:rsidR="00881107" w:rsidRDefault="00881107">
            <w:pPr>
              <w:pStyle w:val="Compact"/>
              <w:jc w:val="center"/>
            </w:pPr>
            <w:r>
              <w:rPr>
                <w:b/>
                <w:bCs/>
              </w:rPr>
              <w:t>Verified</w:t>
            </w:r>
          </w:p>
        </w:tc>
        <w:tc>
          <w:tcPr>
            <w:tcW w:w="2640" w:type="dxa"/>
            <w:tcBorders>
              <w:top w:val="single" w:sz="4" w:space="0" w:color="B4C6E7"/>
              <w:left w:val="single" w:sz="4" w:space="0" w:color="B4C6E7"/>
              <w:bottom w:val="single" w:sz="4" w:space="0" w:color="B4C6E7"/>
              <w:right w:val="single" w:sz="4" w:space="0" w:color="B4C6E7"/>
            </w:tcBorders>
            <w:shd w:val="clear" w:color="auto" w:fill="DDEBF7"/>
            <w:vAlign w:val="center"/>
            <w:hideMark/>
          </w:tcPr>
          <w:p w14:paraId="63D420E3" w14:textId="77777777" w:rsidR="00881107" w:rsidRDefault="00881107">
            <w:pPr>
              <w:pStyle w:val="Compact"/>
            </w:pPr>
            <w:r>
              <w:t>ICC approved roughly $300M, reduced from a $402M request, exceeding the prior Nicor record</w:t>
            </w:r>
          </w:p>
        </w:tc>
      </w:tr>
    </w:tbl>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2400E4" w14:paraId="0C65025C" w14:textId="77777777" w:rsidTr="00881107">
        <w:trPr>
          <w:cnfStyle w:val="100000000000" w:firstRow="1" w:lastRow="0" w:firstColumn="0" w:lastColumn="0" w:oddVBand="0" w:evenVBand="0" w:oddHBand="0" w:evenHBand="0" w:firstRowFirstColumn="0" w:firstRowLastColumn="0" w:lastRowFirstColumn="0" w:lastRowLastColumn="0"/>
        </w:trPr>
        <w:tc>
          <w:tcPr>
            <w:tcW w:w="2640" w:type="dxa"/>
            <w:tcBorders>
              <w:bottom w:val="none" w:sz="0" w:space="0" w:color="auto"/>
            </w:tcBorders>
          </w:tcPr>
          <w:p w14:paraId="69BBB240" w14:textId="77777777" w:rsidR="002400E4" w:rsidRDefault="003D2442">
            <w:pPr>
              <w:pStyle w:val="Compact"/>
            </w:pPr>
            <w:r>
              <w:t>Rates up 71 percent in four years if granted in full</w:t>
            </w:r>
          </w:p>
        </w:tc>
        <w:tc>
          <w:tcPr>
            <w:tcW w:w="2640" w:type="dxa"/>
            <w:tcBorders>
              <w:bottom w:val="none" w:sz="0" w:space="0" w:color="auto"/>
            </w:tcBorders>
          </w:tcPr>
          <w:p w14:paraId="40C5E42D" w14:textId="77777777" w:rsidR="002400E4" w:rsidRDefault="003D2442">
            <w:pPr>
              <w:pStyle w:val="Compact"/>
            </w:pPr>
            <w:r>
              <w:t>Directionally supported, advocate-calculated</w:t>
            </w:r>
          </w:p>
        </w:tc>
        <w:tc>
          <w:tcPr>
            <w:tcW w:w="2640" w:type="dxa"/>
            <w:tcBorders>
              <w:bottom w:val="none" w:sz="0" w:space="0" w:color="auto"/>
            </w:tcBorders>
          </w:tcPr>
          <w:p w14:paraId="2EDE10CA" w14:textId="77777777" w:rsidR="002400E4" w:rsidRDefault="003D2442">
            <w:pPr>
              <w:pStyle w:val="Compact"/>
            </w:pPr>
            <w:r>
              <w:t>Used consistently by CUB and PIRG and repeated in press coverage of the letter; not a Commission finding</w:t>
            </w:r>
          </w:p>
        </w:tc>
      </w:tr>
      <w:tr w:rsidR="002400E4" w14:paraId="12388C10" w14:textId="77777777" w:rsidTr="00881107">
        <w:tc>
          <w:tcPr>
            <w:tcW w:w="2640" w:type="dxa"/>
          </w:tcPr>
          <w:p w14:paraId="1CD2C25A" w14:textId="77777777" w:rsidR="002400E4" w:rsidRDefault="003D2442">
            <w:pPr>
              <w:pStyle w:val="Compact"/>
            </w:pPr>
            <w:r>
              <w:lastRenderedPageBreak/>
              <w:t>17 percent of customers more than 30 days behind as of December 2025</w:t>
            </w:r>
          </w:p>
        </w:tc>
        <w:tc>
          <w:tcPr>
            <w:tcW w:w="2640" w:type="dxa"/>
          </w:tcPr>
          <w:p w14:paraId="71303AE6" w14:textId="77777777" w:rsidR="002400E4" w:rsidRDefault="003D2442">
            <w:pPr>
              <w:pStyle w:val="Compact"/>
            </w:pPr>
            <w:r>
              <w:t>Consistent with the record</w:t>
            </w:r>
          </w:p>
        </w:tc>
        <w:tc>
          <w:tcPr>
            <w:tcW w:w="2640" w:type="dxa"/>
          </w:tcPr>
          <w:p w14:paraId="688C4F31" w14:textId="77777777" w:rsidR="002400E4" w:rsidRDefault="003D2442">
            <w:pPr>
              <w:pStyle w:val="Compact"/>
            </w:pPr>
            <w:r>
              <w:t>State data showed nearly one in five behind as of August 2026</w:t>
            </w:r>
          </w:p>
        </w:tc>
      </w:tr>
      <w:tr w:rsidR="002400E4" w14:paraId="276B1226" w14:textId="77777777" w:rsidTr="00881107">
        <w:tc>
          <w:tcPr>
            <w:tcW w:w="2640" w:type="dxa"/>
          </w:tcPr>
          <w:p w14:paraId="286F00E8" w14:textId="77777777" w:rsidR="002400E4" w:rsidRDefault="003D2442">
            <w:pPr>
              <w:pStyle w:val="Compact"/>
            </w:pPr>
            <w:r>
              <w:t>Average debt over $500 in several zip codes</w:t>
            </w:r>
          </w:p>
        </w:tc>
        <w:tc>
          <w:tcPr>
            <w:tcW w:w="2640" w:type="dxa"/>
          </w:tcPr>
          <w:p w14:paraId="0B3E009E" w14:textId="77777777" w:rsidR="002400E4" w:rsidRDefault="003D2442">
            <w:pPr>
              <w:pStyle w:val="Compact"/>
            </w:pPr>
            <w:r>
              <w:t>Consistent</w:t>
            </w:r>
          </w:p>
        </w:tc>
        <w:tc>
          <w:tcPr>
            <w:tcW w:w="2640" w:type="dxa"/>
          </w:tcPr>
          <w:p w14:paraId="1B261D4D" w14:textId="77777777" w:rsidR="002400E4" w:rsidRDefault="003D2442">
            <w:pPr>
              <w:pStyle w:val="Compact"/>
            </w:pPr>
            <w:r>
              <w:t>Statewide average was approximately $570 in August 2026</w:t>
            </w:r>
          </w:p>
        </w:tc>
      </w:tr>
      <w:tr w:rsidR="002400E4" w14:paraId="3DC4CF78" w14:textId="77777777" w:rsidTr="00881107">
        <w:tc>
          <w:tcPr>
            <w:tcW w:w="2640" w:type="dxa"/>
          </w:tcPr>
          <w:p w14:paraId="40766ED7" w14:textId="77777777" w:rsidR="002400E4" w:rsidRDefault="003D2442">
            <w:pPr>
              <w:pStyle w:val="Compact"/>
            </w:pPr>
            <w:r>
              <w:t xml:space="preserve">Record profits </w:t>
            </w:r>
            <w:proofErr w:type="gramStart"/>
            <w:r>
              <w:t>to</w:t>
            </w:r>
            <w:proofErr w:type="gramEnd"/>
            <w:r>
              <w:t xml:space="preserve"> </w:t>
            </w:r>
            <w:proofErr w:type="gramStart"/>
            <w:r>
              <w:t>out of state</w:t>
            </w:r>
            <w:proofErr w:type="gramEnd"/>
            <w:r>
              <w:t xml:space="preserve"> </w:t>
            </w:r>
            <w:proofErr w:type="gramStart"/>
            <w:r>
              <w:t>parent</w:t>
            </w:r>
            <w:proofErr w:type="gramEnd"/>
            <w:r>
              <w:t xml:space="preserve"> in 7 of 9 years</w:t>
            </w:r>
          </w:p>
        </w:tc>
        <w:tc>
          <w:tcPr>
            <w:tcW w:w="2640" w:type="dxa"/>
          </w:tcPr>
          <w:p w14:paraId="53D202B6" w14:textId="77777777" w:rsidR="002400E4" w:rsidRDefault="003D2442">
            <w:pPr>
              <w:pStyle w:val="Compact"/>
            </w:pPr>
            <w:r>
              <w:t>Defensible characterization</w:t>
            </w:r>
          </w:p>
        </w:tc>
        <w:tc>
          <w:tcPr>
            <w:tcW w:w="2640" w:type="dxa"/>
          </w:tcPr>
          <w:p w14:paraId="7623E5D4" w14:textId="77777777" w:rsidR="002400E4" w:rsidRDefault="003D2442">
            <w:pPr>
              <w:pStyle w:val="Compact"/>
            </w:pPr>
            <w:r>
              <w:t>WEC has credited Illinois infrastructure spending for rising utility margins; the specific framing originates with CUB</w:t>
            </w:r>
          </w:p>
        </w:tc>
      </w:tr>
      <w:tr w:rsidR="002400E4" w14:paraId="5CA65008" w14:textId="77777777" w:rsidTr="00881107">
        <w:tc>
          <w:tcPr>
            <w:tcW w:w="2640" w:type="dxa"/>
          </w:tcPr>
          <w:p w14:paraId="2336AD46" w14:textId="77777777" w:rsidR="002400E4" w:rsidRDefault="003D2442">
            <w:pPr>
              <w:pStyle w:val="Compact"/>
            </w:pPr>
            <w:proofErr w:type="gramStart"/>
            <w:r>
              <w:t>Profits</w:t>
            </w:r>
            <w:proofErr w:type="gramEnd"/>
            <w:r>
              <w:t xml:space="preserve"> up more than 400 percent since program inception</w:t>
            </w:r>
          </w:p>
        </w:tc>
        <w:tc>
          <w:tcPr>
            <w:tcW w:w="2640" w:type="dxa"/>
          </w:tcPr>
          <w:p w14:paraId="7AFA1E9A" w14:textId="77777777" w:rsidR="002400E4" w:rsidRDefault="003D2442">
            <w:pPr>
              <w:pStyle w:val="Compact"/>
            </w:pPr>
            <w:r>
              <w:t>Advocacy-derived, unverified</w:t>
            </w:r>
          </w:p>
        </w:tc>
        <w:tc>
          <w:tcPr>
            <w:tcW w:w="2640" w:type="dxa"/>
          </w:tcPr>
          <w:p w14:paraId="0C56CFCD" w14:textId="77777777" w:rsidR="002400E4" w:rsidRDefault="003D2442">
            <w:pPr>
              <w:pStyle w:val="Compact"/>
            </w:pPr>
            <w:r>
              <w:t>No Commission finding or audited disclosure supports the specific percentage</w:t>
            </w:r>
          </w:p>
        </w:tc>
      </w:tr>
      <w:tr w:rsidR="002400E4" w14:paraId="29F3388A" w14:textId="77777777" w:rsidTr="00881107">
        <w:tc>
          <w:tcPr>
            <w:tcW w:w="2640" w:type="dxa"/>
          </w:tcPr>
          <w:p w14:paraId="2053949B" w14:textId="77777777" w:rsidR="002400E4" w:rsidRDefault="003D2442">
            <w:pPr>
              <w:pStyle w:val="Compact"/>
            </w:pPr>
            <w:r>
              <w:t>10.1 percent requested profit rate</w:t>
            </w:r>
          </w:p>
        </w:tc>
        <w:tc>
          <w:tcPr>
            <w:tcW w:w="2640" w:type="dxa"/>
          </w:tcPr>
          <w:p w14:paraId="4B64F26C" w14:textId="77777777" w:rsidR="002400E4" w:rsidRDefault="003D2442">
            <w:pPr>
              <w:pStyle w:val="Compact"/>
            </w:pPr>
            <w:r>
              <w:t>Verified</w:t>
            </w:r>
          </w:p>
        </w:tc>
        <w:tc>
          <w:tcPr>
            <w:tcW w:w="2640" w:type="dxa"/>
          </w:tcPr>
          <w:p w14:paraId="47BDADE0" w14:textId="77777777" w:rsidR="002400E4" w:rsidRDefault="003D2442">
            <w:pPr>
              <w:pStyle w:val="Compact"/>
            </w:pPr>
            <w:r>
              <w:t xml:space="preserve">Up from </w:t>
            </w:r>
            <w:proofErr w:type="gramStart"/>
            <w:r>
              <w:t>the 9.38</w:t>
            </w:r>
            <w:proofErr w:type="gramEnd"/>
            <w:r>
              <w:t xml:space="preserve"> percent authorized in 2023</w:t>
            </w:r>
          </w:p>
        </w:tc>
      </w:tr>
      <w:tr w:rsidR="002400E4" w14:paraId="3C5330B8" w14:textId="77777777" w:rsidTr="00881107">
        <w:tc>
          <w:tcPr>
            <w:tcW w:w="2640" w:type="dxa"/>
          </w:tcPr>
          <w:p w14:paraId="32CC2691" w14:textId="77777777" w:rsidR="002400E4" w:rsidRDefault="003D2442">
            <w:pPr>
              <w:pStyle w:val="Compact"/>
            </w:pPr>
            <w:r>
              <w:t>$337 million in annual profits</w:t>
            </w:r>
          </w:p>
        </w:tc>
        <w:tc>
          <w:tcPr>
            <w:tcW w:w="2640" w:type="dxa"/>
          </w:tcPr>
          <w:p w14:paraId="285DAB01" w14:textId="77777777" w:rsidR="002400E4" w:rsidRDefault="003D2442">
            <w:pPr>
              <w:pStyle w:val="Compact"/>
            </w:pPr>
            <w:r>
              <w:t>Derived, contestable</w:t>
            </w:r>
          </w:p>
        </w:tc>
        <w:tc>
          <w:tcPr>
            <w:tcW w:w="2640" w:type="dxa"/>
          </w:tcPr>
          <w:p w14:paraId="3EA153EA" w14:textId="77777777" w:rsidR="002400E4" w:rsidRDefault="003D2442">
            <w:pPr>
              <w:pStyle w:val="Compact"/>
            </w:pPr>
            <w:r>
              <w:t>An ROE applied to a rate base estimate; plausible in magnitude but an intervenor computation</w:t>
            </w:r>
          </w:p>
        </w:tc>
      </w:tr>
      <w:tr w:rsidR="002400E4" w14:paraId="580254F9" w14:textId="77777777" w:rsidTr="00881107">
        <w:tc>
          <w:tcPr>
            <w:tcW w:w="2640" w:type="dxa"/>
          </w:tcPr>
          <w:p w14:paraId="436C33D0" w14:textId="77777777" w:rsidR="002400E4" w:rsidRDefault="003D2442">
            <w:pPr>
              <w:pStyle w:val="Compact"/>
            </w:pPr>
            <w:r>
              <w:t>Original promise of 2030 completion at $1.4 billion</w:t>
            </w:r>
          </w:p>
        </w:tc>
        <w:tc>
          <w:tcPr>
            <w:tcW w:w="2640" w:type="dxa"/>
          </w:tcPr>
          <w:p w14:paraId="597E02A5" w14:textId="77777777" w:rsidR="002400E4" w:rsidRDefault="003D2442">
            <w:pPr>
              <w:pStyle w:val="Compact"/>
            </w:pPr>
            <w:r>
              <w:t>Verified</w:t>
            </w:r>
          </w:p>
        </w:tc>
        <w:tc>
          <w:tcPr>
            <w:tcW w:w="2640" w:type="dxa"/>
          </w:tcPr>
          <w:p w14:paraId="27BCED2E" w14:textId="77777777" w:rsidR="002400E4" w:rsidRDefault="003D2442">
            <w:pPr>
              <w:pStyle w:val="Compact"/>
            </w:pPr>
            <w:r>
              <w:t>Both the $1.4B and roughly $2B figures circulate because they reflect different scope definitions</w:t>
            </w:r>
          </w:p>
        </w:tc>
      </w:tr>
      <w:tr w:rsidR="002400E4" w14:paraId="132A3C18" w14:textId="77777777" w:rsidTr="00881107">
        <w:tc>
          <w:tcPr>
            <w:tcW w:w="2640" w:type="dxa"/>
          </w:tcPr>
          <w:p w14:paraId="30D66D56" w14:textId="77777777" w:rsidR="002400E4" w:rsidRDefault="003D2442">
            <w:pPr>
              <w:pStyle w:val="Compact"/>
            </w:pPr>
            <w:proofErr w:type="gramStart"/>
            <w:r>
              <w:t>Actually</w:t>
            </w:r>
            <w:proofErr w:type="gramEnd"/>
            <w:r>
              <w:t xml:space="preserve"> on track for 2048 and $11 billion</w:t>
            </w:r>
          </w:p>
        </w:tc>
        <w:tc>
          <w:tcPr>
            <w:tcW w:w="2640" w:type="dxa"/>
          </w:tcPr>
          <w:p w14:paraId="7806D29B" w14:textId="77777777" w:rsidR="002400E4" w:rsidRDefault="003D2442">
            <w:pPr>
              <w:pStyle w:val="Compact"/>
            </w:pPr>
            <w:r>
              <w:t>Verified as a projection</w:t>
            </w:r>
          </w:p>
        </w:tc>
        <w:tc>
          <w:tcPr>
            <w:tcW w:w="2640" w:type="dxa"/>
          </w:tcPr>
          <w:p w14:paraId="33741B3D" w14:textId="77777777" w:rsidR="002400E4" w:rsidRDefault="003D2442">
            <w:pPr>
              <w:pStyle w:val="Compact"/>
            </w:pPr>
            <w:r>
              <w:t>CUB’s 2024 analysis projected an additional $12.8 billion to finish</w:t>
            </w:r>
          </w:p>
        </w:tc>
      </w:tr>
      <w:tr w:rsidR="002400E4" w14:paraId="44FF999A" w14:textId="77777777" w:rsidTr="00881107">
        <w:tc>
          <w:tcPr>
            <w:tcW w:w="2640" w:type="dxa"/>
          </w:tcPr>
          <w:p w14:paraId="01A9A2F1" w14:textId="77777777" w:rsidR="002400E4" w:rsidRDefault="003D2442">
            <w:pPr>
              <w:pStyle w:val="Compact"/>
            </w:pPr>
            <w:r>
              <w:t>Failure rates were not improving despite spending</w:t>
            </w:r>
          </w:p>
        </w:tc>
        <w:tc>
          <w:tcPr>
            <w:tcW w:w="2640" w:type="dxa"/>
          </w:tcPr>
          <w:p w14:paraId="196F81AA" w14:textId="77777777" w:rsidR="002400E4" w:rsidRDefault="003D2442">
            <w:pPr>
              <w:pStyle w:val="Compact"/>
            </w:pPr>
            <w:r>
              <w:t>Consistent with the ICC record</w:t>
            </w:r>
          </w:p>
        </w:tc>
        <w:tc>
          <w:tcPr>
            <w:tcW w:w="2640" w:type="dxa"/>
          </w:tcPr>
          <w:p w14:paraId="60AEF47B" w14:textId="77777777" w:rsidR="002400E4" w:rsidRDefault="003D2442">
            <w:pPr>
              <w:pStyle w:val="Compact"/>
            </w:pPr>
            <w:r>
              <w:t>The Commission found the CI/DI retirement rate slowed over time</w:t>
            </w:r>
          </w:p>
        </w:tc>
      </w:tr>
      <w:tr w:rsidR="002400E4" w14:paraId="35C436B5" w14:textId="77777777" w:rsidTr="00881107">
        <w:tc>
          <w:tcPr>
            <w:tcW w:w="2640" w:type="dxa"/>
          </w:tcPr>
          <w:p w14:paraId="6499ADFE" w14:textId="77777777" w:rsidR="002400E4" w:rsidRDefault="003D2442">
            <w:pPr>
              <w:pStyle w:val="Compact"/>
            </w:pPr>
            <w:r>
              <w:t>$265M recent annual spend rising to ~$535M per year 2028 to 2034</w:t>
            </w:r>
          </w:p>
        </w:tc>
        <w:tc>
          <w:tcPr>
            <w:tcW w:w="2640" w:type="dxa"/>
          </w:tcPr>
          <w:p w14:paraId="5512A093" w14:textId="77777777" w:rsidR="002400E4" w:rsidRDefault="003D2442">
            <w:pPr>
              <w:pStyle w:val="Compact"/>
            </w:pPr>
            <w:r>
              <w:t>Consistent with the filing</w:t>
            </w:r>
          </w:p>
        </w:tc>
        <w:tc>
          <w:tcPr>
            <w:tcW w:w="2640" w:type="dxa"/>
          </w:tcPr>
          <w:p w14:paraId="7A5C661D" w14:textId="77777777" w:rsidR="002400E4" w:rsidRDefault="003D2442">
            <w:pPr>
              <w:pStyle w:val="Compact"/>
            </w:pPr>
            <w:r>
              <w:t>Peoples Gas attributed its request to roughly $600M in planned investment through 2027</w:t>
            </w:r>
          </w:p>
        </w:tc>
      </w:tr>
      <w:tr w:rsidR="002400E4" w14:paraId="7E2A011B" w14:textId="77777777" w:rsidTr="00881107">
        <w:tc>
          <w:tcPr>
            <w:tcW w:w="2640" w:type="dxa"/>
          </w:tcPr>
          <w:p w14:paraId="510ADFCB" w14:textId="77777777" w:rsidR="002400E4" w:rsidRDefault="003D2442">
            <w:pPr>
              <w:pStyle w:val="Compact"/>
            </w:pPr>
            <w:r>
              <w:t>133 miles per year needed against 59 recently</w:t>
            </w:r>
          </w:p>
        </w:tc>
        <w:tc>
          <w:tcPr>
            <w:tcW w:w="2640" w:type="dxa"/>
          </w:tcPr>
          <w:p w14:paraId="1B89D9D6" w14:textId="77777777" w:rsidR="002400E4" w:rsidRDefault="003D2442">
            <w:pPr>
              <w:pStyle w:val="Compact"/>
            </w:pPr>
            <w:r>
              <w:t>Consistent</w:t>
            </w:r>
          </w:p>
        </w:tc>
        <w:tc>
          <w:tcPr>
            <w:tcW w:w="2640" w:type="dxa"/>
          </w:tcPr>
          <w:p w14:paraId="3F703B36" w14:textId="77777777" w:rsidR="002400E4" w:rsidRDefault="003D2442">
            <w:pPr>
              <w:pStyle w:val="Compact"/>
            </w:pPr>
            <w:r>
              <w:t>Over 1,000 miles remaining against a 2035 deadline</w:t>
            </w:r>
          </w:p>
        </w:tc>
      </w:tr>
      <w:tr w:rsidR="002400E4" w14:paraId="40EF0A73" w14:textId="77777777" w:rsidTr="00881107">
        <w:tc>
          <w:tcPr>
            <w:tcW w:w="2640" w:type="dxa"/>
          </w:tcPr>
          <w:p w14:paraId="2D6CFEEE" w14:textId="77777777" w:rsidR="002400E4" w:rsidRDefault="003D2442">
            <w:pPr>
              <w:pStyle w:val="Compact"/>
            </w:pPr>
            <w:proofErr w:type="gramStart"/>
            <w:r>
              <w:t>40 to 70 year</w:t>
            </w:r>
            <w:proofErr w:type="gramEnd"/>
            <w:r>
              <w:t xml:space="preserve"> recovery life</w:t>
            </w:r>
          </w:p>
        </w:tc>
        <w:tc>
          <w:tcPr>
            <w:tcW w:w="2640" w:type="dxa"/>
          </w:tcPr>
          <w:p w14:paraId="4050F147" w14:textId="77777777" w:rsidR="002400E4" w:rsidRDefault="003D2442">
            <w:pPr>
              <w:pStyle w:val="Compact"/>
            </w:pPr>
            <w:r>
              <w:t>Verified</w:t>
            </w:r>
          </w:p>
        </w:tc>
        <w:tc>
          <w:tcPr>
            <w:tcW w:w="2640" w:type="dxa"/>
          </w:tcPr>
          <w:p w14:paraId="6B175A72" w14:textId="77777777" w:rsidR="002400E4" w:rsidRDefault="003D2442">
            <w:pPr>
              <w:pStyle w:val="Compact"/>
            </w:pPr>
            <w:r>
              <w:t>Standard depreciable life for distribution mains; PIRG projected $15.2B in customer cost through 2070</w:t>
            </w:r>
          </w:p>
        </w:tc>
      </w:tr>
    </w:tbl>
    <w:p w14:paraId="001771A8" w14:textId="77777777" w:rsidR="002400E4" w:rsidRDefault="003A34C9">
      <w:pPr>
        <w:pStyle w:val="BodyText"/>
      </w:pPr>
      <w:r w:rsidRPr="003A34C9">
        <w:rPr>
          <w:b/>
          <w:bCs/>
        </w:rPr>
        <w:lastRenderedPageBreak/>
        <w:t>Net assessment.</w:t>
      </w:r>
      <w:r w:rsidRPr="003A34C9">
        <w:t xml:space="preserve"> Most claims in the letter are supported by public records or are directionally consistent with them. The principal areas of uncertainty are </w:t>
      </w:r>
      <w:proofErr w:type="gramStart"/>
      <w:r w:rsidRPr="003A34C9">
        <w:t>the profit</w:t>
      </w:r>
      <w:proofErr w:type="gramEnd"/>
      <w:r w:rsidRPr="003A34C9">
        <w:t xml:space="preserve"> calculations, which depend on assumptions about rate base, capital structure, timing, and the period being measured. Those figures should be attributed to the advocates who produced them rather than presented as Commission findings.</w:t>
      </w:r>
    </w:p>
    <w:p w14:paraId="440D8787" w14:textId="77777777" w:rsidR="00881107" w:rsidRDefault="00881107">
      <w:pPr>
        <w:pStyle w:val="BodyText"/>
        <w:rPr>
          <w:kern w:val="2"/>
          <w14:ligatures w14:val="standardContextual"/>
        </w:rPr>
      </w:pPr>
      <w:r>
        <w:rPr>
          <w:b/>
          <w:bCs/>
        </w:rPr>
        <w:t>Plain-language script.</w:t>
      </w:r>
      <w:r>
        <w:t xml:space="preserve"> The letter is strongest when it relies on public records. The 2023 record rate increase, the original $1.4 billion estimate, the later $11 billion trajectory, the 2048 projection, the current 9.38 percent authorized return, the 10.1 percent requested return, and the customer arrearage figures are all supported or directionally consistent with the record. Two claims need careful attribution: the $337 million annual profit estimate and the claim that profits increased more than 400 percent. Those are advocate calculations, not ICC findings. Also, the current request is about $144 million, not the original $202.3 million, because Peoples Gas reduced it in July 2026.</w:t>
      </w:r>
    </w:p>
    <w:p w14:paraId="5A39BBE3" w14:textId="77777777" w:rsidR="002400E4" w:rsidRDefault="003D2442">
      <w:r>
        <w:pict w14:anchorId="7DB7EBA4">
          <v:rect id="_x0000_i1030" style="width:0;height:1.5pt" o:hralign="center" o:hrstd="t" o:hr="t"/>
        </w:pict>
      </w:r>
    </w:p>
    <w:p w14:paraId="77A50866" w14:textId="77777777" w:rsidR="002400E4" w:rsidRDefault="003D2442">
      <w:pPr>
        <w:pStyle w:val="Heading1"/>
      </w:pPr>
      <w:bookmarkStart w:id="30" w:name="section-3.-genesis-of-the-program"/>
      <w:bookmarkStart w:id="31" w:name="_Toc241588818"/>
      <w:bookmarkStart w:id="32" w:name="_Toc241591530"/>
      <w:bookmarkEnd w:id="27"/>
      <w:r>
        <w:t>Section 3. Genesis of the Program</w:t>
      </w:r>
      <w:bookmarkEnd w:id="31"/>
      <w:bookmarkEnd w:id="32"/>
    </w:p>
    <w:p w14:paraId="5232AFC8" w14:textId="77777777" w:rsidR="002400E4" w:rsidRDefault="003D2442">
      <w:pPr>
        <w:pStyle w:val="FirstParagraph"/>
      </w:pPr>
      <w:r>
        <w:t>The program did not begin as a climate fight. It began as an engineering and federal safety problem.</w:t>
      </w:r>
    </w:p>
    <w:p w14:paraId="032BC157" w14:textId="77777777" w:rsidR="002400E4" w:rsidRDefault="003D2442">
      <w:pPr>
        <w:pStyle w:val="BodyText"/>
      </w:pPr>
      <w:r>
        <w:t>Chicago’s distribution system includes cast iron and ductile iron mains, some dating to the nineteenth century. Engineering studies flagged the risk repeatedly across four decades, beginning with the Zinder studies between 1981 and 2002 and continuing with the Kiefner study in 2007.</w:t>
      </w:r>
    </w:p>
    <w:p w14:paraId="2E691141" w14:textId="77777777" w:rsidR="002400E4" w:rsidRDefault="003D2442">
      <w:pPr>
        <w:pStyle w:val="BodyText"/>
      </w:pPr>
      <w:r>
        <w:t>Two external events accelerated everything. The San Bruno pipeline explosion in 2010 and the resulting PHMSA Call to Action in 2011 pushed distribution integrity to the top of the national regulatory agenda.</w:t>
      </w:r>
    </w:p>
    <w:p w14:paraId="52236CB1" w14:textId="77777777" w:rsidR="002400E4" w:rsidRDefault="003D2442">
      <w:pPr>
        <w:pStyle w:val="BodyText"/>
      </w:pPr>
      <w:r>
        <w:t>The financing mechanism arrived in 2013. Public Act 98-57 created Rider QIP under Section 9-220.3 of the Public Utilities Act, allowing gas utilities to recover qualifying infrastructure investment through an automatic surcharge rather than waiting for a full rate case. The Third District Appellate Court later summarized the legislative purpose plainly: the General Assembly enacted the section to encourage gas utilities to invest in infrastructure to improve the safety and reliability of their systems.</w:t>
      </w:r>
    </w:p>
    <w:p w14:paraId="7612EE42" w14:textId="77777777" w:rsidR="002400E4" w:rsidRDefault="003D2442">
      <w:pPr>
        <w:pStyle w:val="BodyText"/>
      </w:pPr>
      <w:r>
        <w:t>That single legislative decision is the hinge of this entire story. QIP converted a slow, contested recovery process into a fast, formulaic one. Spending accelerated. Bills followed.</w:t>
      </w:r>
    </w:p>
    <w:p w14:paraId="0BFC092C" w14:textId="77777777" w:rsidR="002400E4" w:rsidRDefault="003D2442">
      <w:pPr>
        <w:pStyle w:val="BodyText"/>
      </w:pPr>
      <w:r>
        <w:t>Legislators were told QIP would cost Chicago customers roughly $1.14 per month. Between 2017 and 2023 it reached as high as $30 per month, according to the Attorney General’s Office.</w:t>
      </w:r>
    </w:p>
    <w:p w14:paraId="45AC1DA5" w14:textId="77777777" w:rsidR="00881107" w:rsidRDefault="00881107">
      <w:pPr>
        <w:pStyle w:val="BodyText"/>
        <w:rPr>
          <w:kern w:val="2"/>
          <w14:ligatures w14:val="standardContextual"/>
        </w:rPr>
      </w:pPr>
      <w:r>
        <w:rPr>
          <w:b/>
          <w:bCs/>
        </w:rPr>
        <w:lastRenderedPageBreak/>
        <w:t>Plain-language script.</w:t>
      </w:r>
      <w:r>
        <w:t xml:space="preserve"> This program began with a legitimate engineering and safety concern, not with the later climate and affordability debate. Chicago had aging cast iron and ductile iron pipe, federal regulators were pressing utilities to improve pipeline safety, and Illinois created Rider QIP in 2013 to speed investment by allowing recovery through a surcharge. The key turning point was removing the normal delay between spending money and collecting it from customers. That helped accelerate work, but it also reduced </w:t>
      </w:r>
      <w:proofErr w:type="gramStart"/>
      <w:r>
        <w:t>a natural</w:t>
      </w:r>
      <w:proofErr w:type="gramEnd"/>
      <w:r>
        <w:t xml:space="preserve"> check on spending. Customers were initially told the surcharge would be about $1.14 per month; it later reached as much as $30 per month.</w:t>
      </w:r>
    </w:p>
    <w:p w14:paraId="41C8F396" w14:textId="77777777" w:rsidR="002400E4" w:rsidRDefault="003D2442">
      <w:r>
        <w:pict w14:anchorId="4ACEA5EB">
          <v:rect id="_x0000_i1031" style="width:0;height:1.5pt" o:hralign="center" o:hrstd="t" o:hr="t"/>
        </w:pict>
      </w:r>
    </w:p>
    <w:p w14:paraId="6AADB880" w14:textId="77777777" w:rsidR="002400E4" w:rsidRDefault="003D2442">
      <w:pPr>
        <w:pStyle w:val="Heading1"/>
      </w:pPr>
      <w:bookmarkStart w:id="33" w:name="Xa258d5b7954b90d947194a3577b3fb7e8671017"/>
      <w:bookmarkStart w:id="34" w:name="_Toc241588819"/>
      <w:bookmarkStart w:id="35" w:name="_Toc241591531"/>
      <w:bookmarkEnd w:id="30"/>
      <w:r>
        <w:t>Section 4. Purpose, Expectations, and Fallout</w:t>
      </w:r>
      <w:bookmarkEnd w:id="34"/>
      <w:bookmarkEnd w:id="35"/>
    </w:p>
    <w:p w14:paraId="188AADA3" w14:textId="77777777" w:rsidR="002400E4" w:rsidRDefault="003D2442">
      <w:pPr>
        <w:pStyle w:val="FirstParagraph"/>
      </w:pPr>
      <w:r>
        <w:rPr>
          <w:b/>
          <w:bCs/>
        </w:rPr>
        <w:t>The original promise.</w:t>
      </w:r>
      <w:r>
        <w:t xml:space="preserve"> </w:t>
      </w:r>
      <w:r>
        <w:t>Retire aging iron pipe posing leak and rupture risk. Complete by roughly 2030. Spend roughly $1.4 billion, with broader scope estimates near $2 billion. Modernize metering, relocate meters outside homes, improve inspectability. Reduce methane leakage.</w:t>
      </w:r>
    </w:p>
    <w:p w14:paraId="465E8BCC" w14:textId="77777777" w:rsidR="002400E4" w:rsidRDefault="003D2442">
      <w:pPr>
        <w:pStyle w:val="BodyText"/>
      </w:pPr>
      <w:r>
        <w:rPr>
          <w:b/>
          <w:bCs/>
        </w:rPr>
        <w:t>What happened instead.</w:t>
      </w:r>
      <w:r>
        <w:t xml:space="preserve"> </w:t>
      </w:r>
      <w:r>
        <w:t>By 2023 the program had missed quarterly targets for twenty-two consecutive quarters and had ended every year over budget since quarterly reporting began in 2018. Cost projections moved from roughly $2 billion toward $11 billion and in some analyses toward $13 billion. Scope expanded from iron pipe retirement into a broader System Modernization Program including work not directly tied to the highest risk pipe.</w:t>
      </w:r>
    </w:p>
    <w:p w14:paraId="33E554B2" w14:textId="77777777" w:rsidR="002400E4" w:rsidRDefault="003D2442">
      <w:pPr>
        <w:pStyle w:val="BodyText"/>
      </w:pPr>
      <w:r>
        <w:t>Sun-Times reporting in February 2025 captured the execution problem in a single line: the program had already cost $3.3 billion with roughly 38 percent of the work complete.</w:t>
      </w:r>
    </w:p>
    <w:p w14:paraId="6BD3AA2D" w14:textId="77777777" w:rsidR="002400E4" w:rsidRDefault="003D2442">
      <w:pPr>
        <w:pStyle w:val="BodyText"/>
      </w:pPr>
      <w:r>
        <w:rPr>
          <w:b/>
          <w:bCs/>
        </w:rPr>
        <w:t>The affordability consequence.</w:t>
      </w:r>
      <w:r>
        <w:t xml:space="preserve"> </w:t>
      </w:r>
      <w:proofErr w:type="gramStart"/>
      <w:r>
        <w:t>Peoples</w:t>
      </w:r>
      <w:proofErr w:type="gramEnd"/>
      <w:r>
        <w:t xml:space="preserve"> Gas customers were collectively $111 million behind on bills by July 2023. Disconnection notices went to 5 percent of customers in a single month, a higher rate than any other major Illinois utility.</w:t>
      </w:r>
    </w:p>
    <w:p w14:paraId="18EEC036" w14:textId="77777777" w:rsidR="002400E4" w:rsidRDefault="003D2442">
      <w:pPr>
        <w:pStyle w:val="BodyText"/>
      </w:pPr>
      <w:r>
        <w:rPr>
          <w:b/>
          <w:bCs/>
        </w:rPr>
        <w:t>The political consequence.</w:t>
      </w:r>
      <w:r>
        <w:t xml:space="preserve"> </w:t>
      </w:r>
      <w:r>
        <w:t>The Chicago City Council passed a resolution in April 2020 calling the program troubled and urging the Governor and General Assembly to restore oversight. Legislation to sunset QIP early drew 36 supporting organizations. QIP ultimately sunset on schedule at the end of 2023 rather than early.</w:t>
      </w:r>
    </w:p>
    <w:p w14:paraId="4DD721A0" w14:textId="77777777" w:rsidR="00881107" w:rsidRDefault="00881107">
      <w:pPr>
        <w:pStyle w:val="BodyText"/>
        <w:rPr>
          <w:kern w:val="2"/>
          <w14:ligatures w14:val="standardContextual"/>
        </w:rPr>
      </w:pPr>
      <w:r>
        <w:rPr>
          <w:b/>
          <w:bCs/>
        </w:rPr>
        <w:t>Plain-language script.</w:t>
      </w:r>
      <w:r>
        <w:t xml:space="preserve"> The original goal was straightforward: replace dangerous old </w:t>
      </w:r>
      <w:proofErr w:type="gramStart"/>
      <w:r>
        <w:t>pipe</w:t>
      </w:r>
      <w:proofErr w:type="gramEnd"/>
      <w:r>
        <w:t>, finish around 2030, and spend about $1.4 billion, with some broader estimates closer to $2 billion. Instead, the program repeatedly missed targets, ran over budget, expanded beyond the highest-risk pipe, and moved toward an $11 billion or higher projection. By early 2025, about $3.3 billion had been spent while only roughly 38 percent of the work was complete. At the same time, customer debt and disconnection pressure grew, which turned an engineering program into an affordability and political problem. The letter’s concern about cost escalation and customer impact is therefore grounded in the program’s actual history.</w:t>
      </w:r>
    </w:p>
    <w:p w14:paraId="72A3D3EC" w14:textId="77777777" w:rsidR="002400E4" w:rsidRDefault="003D2442">
      <w:r>
        <w:lastRenderedPageBreak/>
        <w:pict w14:anchorId="7A1C629C">
          <v:rect id="_x0000_i1032" style="width:0;height:1.5pt" o:hralign="center" o:hrstd="t" o:hr="t"/>
        </w:pict>
      </w:r>
    </w:p>
    <w:p w14:paraId="004D5F45" w14:textId="77777777" w:rsidR="002400E4" w:rsidRDefault="003D2442">
      <w:pPr>
        <w:pStyle w:val="Heading1"/>
      </w:pPr>
      <w:bookmarkStart w:id="36" w:name="X82e70756c86ce20c81eb7ebe04956a6e7495da2"/>
      <w:bookmarkStart w:id="37" w:name="_Toc241588820"/>
      <w:bookmarkStart w:id="38" w:name="_Toc241591532"/>
      <w:bookmarkEnd w:id="33"/>
      <w:r>
        <w:t>Section 5. ICC History and Regulatory Outcomes</w:t>
      </w:r>
      <w:bookmarkEnd w:id="37"/>
      <w:bookmarkEnd w:id="38"/>
    </w:p>
    <w:p w14:paraId="5B3BFF90" w14:textId="77777777" w:rsidR="002400E4" w:rsidRDefault="003D2442">
      <w:pPr>
        <w:pStyle w:val="FirstParagraph"/>
      </w:pPr>
      <w:r>
        <w:rPr>
          <w:b/>
          <w:bCs/>
        </w:rPr>
        <w:t>2015 to 2018, QIP reconciliation.</w:t>
      </w:r>
      <w:r>
        <w:t xml:space="preserve"> </w:t>
      </w:r>
      <w:r>
        <w:t xml:space="preserve">Docket 15-0209 produced a settlement reducing 2014 QIP recovery by $5.4 million, with roughly $4.7 million directed to </w:t>
      </w:r>
      <w:proofErr w:type="gramStart"/>
      <w:r>
        <w:t>low income</w:t>
      </w:r>
      <w:proofErr w:type="gramEnd"/>
      <w:r>
        <w:t xml:space="preserve"> assistance and customer refunds. The settlement also barred credit agency </w:t>
      </w:r>
      <w:proofErr w:type="gramStart"/>
      <w:r>
        <w:t>reporting of</w:t>
      </w:r>
      <w:proofErr w:type="gramEnd"/>
      <w:r>
        <w:t xml:space="preserve"> late payments through December 2023 and required Peoples Gas to solely fund Share the Warmth for a year. The ICC’s executive director described staff analyzing every work order, invoice, permit, and management decision.</w:t>
      </w:r>
    </w:p>
    <w:p w14:paraId="7EAE45FA" w14:textId="77777777" w:rsidR="002400E4" w:rsidRDefault="003D2442">
      <w:pPr>
        <w:pStyle w:val="BodyText"/>
      </w:pPr>
      <w:r>
        <w:rPr>
          <w:b/>
          <w:bCs/>
        </w:rPr>
        <w:t>2007 to 2020, audits and studies.</w:t>
      </w:r>
      <w:r>
        <w:t xml:space="preserve"> </w:t>
      </w:r>
      <w:r>
        <w:t>The Liberty audits, the AMRP to SMP dockets in 2016 to 2018, additional workshops, and the second Kiefner study all documented execution problems.</w:t>
      </w:r>
    </w:p>
    <w:p w14:paraId="02C7FBDF" w14:textId="77777777" w:rsidR="002400E4" w:rsidRDefault="003D2442">
      <w:pPr>
        <w:pStyle w:val="BodyText"/>
      </w:pPr>
      <w:r>
        <w:rPr>
          <w:b/>
          <w:bCs/>
        </w:rPr>
        <w:t>November 2023, the rate case and the pause.</w:t>
      </w:r>
      <w:r>
        <w:t xml:space="preserve"> </w:t>
      </w:r>
      <w:r>
        <w:t xml:space="preserve">The ICC cut the Peoples Gas request from $402 million to roughly $300 million, set ROE at 9.38 percent against a requested 9.90 percent, and paused most SMP spending pending investigation. Across four gas utilities the Commission cut roughly $240 million in combined requests. The same order created a </w:t>
      </w:r>
      <w:proofErr w:type="gramStart"/>
      <w:r>
        <w:t>low income</w:t>
      </w:r>
      <w:proofErr w:type="gramEnd"/>
      <w:r>
        <w:t xml:space="preserve"> discount of up to 83 percent for qualifying customers and launched the two-step Future of Gas proceeding.</w:t>
      </w:r>
    </w:p>
    <w:p w14:paraId="773A20FF" w14:textId="77777777" w:rsidR="002400E4" w:rsidRDefault="003D2442">
      <w:pPr>
        <w:pStyle w:val="BodyText"/>
      </w:pPr>
      <w:r>
        <w:rPr>
          <w:b/>
          <w:bCs/>
        </w:rPr>
        <w:t>December 2023.</w:t>
      </w:r>
      <w:r>
        <w:t xml:space="preserve"> </w:t>
      </w:r>
      <w:r>
        <w:t>The Commission unanimously rejected an emergency motion to spend $134 million winding down program work, with Chairman Scott noting the utility has an enduring statutory responsibility to maintain a safe system.</w:t>
      </w:r>
    </w:p>
    <w:p w14:paraId="2420B080" w14:textId="77777777" w:rsidR="002400E4" w:rsidRDefault="003D2442">
      <w:pPr>
        <w:pStyle w:val="BodyText"/>
      </w:pPr>
      <w:r>
        <w:rPr>
          <w:b/>
          <w:bCs/>
        </w:rPr>
        <w:t>January 2024 to February 2025, the investigation.</w:t>
      </w:r>
      <w:r>
        <w:t xml:space="preserve"> Docket 24-0081 ran twelve months.</w:t>
      </w:r>
    </w:p>
    <w:p w14:paraId="7AB4CD0E" w14:textId="77777777" w:rsidR="002400E4" w:rsidRDefault="003D2442">
      <w:pPr>
        <w:pStyle w:val="BodyText"/>
      </w:pPr>
      <w:r>
        <w:rPr>
          <w:b/>
          <w:bCs/>
        </w:rPr>
        <w:t>February 20, 2025, the landmark order.</w:t>
      </w:r>
      <w:r>
        <w:t xml:space="preserve"> </w:t>
      </w:r>
      <w:r>
        <w:t>The Commission terminated the SMP construct and replaced it with a directive focused specifically on cast and ductile iron retirement. Key elements: a 2035 deadline aligned with PHMSA and engineering recommendations; an independent Safety Monitor reporting annually beginning 2027; notice of potential financial penalties for noncompliance; and an explicit statement that the order is not a green light for business as usual.</w:t>
      </w:r>
    </w:p>
    <w:p w14:paraId="744FA707" w14:textId="77777777" w:rsidR="002400E4" w:rsidRDefault="003D2442">
      <w:pPr>
        <w:pStyle w:val="BodyText"/>
      </w:pPr>
      <w:r>
        <w:t>Commissioner Paradis framed the finding precisely: the record showed Peoples Gas was not prioritizing CI/DI removal but pursued it as one of several components of the broader program, and as a result the retirement rate slowed over time.</w:t>
      </w:r>
    </w:p>
    <w:p w14:paraId="2E0BC8C7" w14:textId="77777777" w:rsidR="002400E4" w:rsidRDefault="003D2442">
      <w:pPr>
        <w:pStyle w:val="BodyText"/>
      </w:pPr>
      <w:r>
        <w:rPr>
          <w:b/>
          <w:bCs/>
        </w:rPr>
        <w:t>November 19, 2025, the comparative orders.</w:t>
      </w:r>
      <w:r>
        <w:t xml:space="preserve"> </w:t>
      </w:r>
      <w:r>
        <w:t>On the same day the Commission cut Nicor by $146.5 million, or nearly 47 percent, and Ameren Illinois gas by $55.8 million, or about 43 percent, approving 9.60 percent ROE for both. The Commission stated that many disallowances were made where the utility failed to sufficiently articulate management decisions including the need, timing, and pace of proposed projects. For Ameren specifically, it found the transmission investment program was both overly accelerated and overly focused on replacement.</w:t>
      </w:r>
    </w:p>
    <w:p w14:paraId="18952C05" w14:textId="77777777" w:rsidR="002400E4" w:rsidRDefault="003C22B1">
      <w:pPr>
        <w:pStyle w:val="BodyText"/>
      </w:pPr>
      <w:r w:rsidRPr="003C22B1">
        <w:lastRenderedPageBreak/>
        <w:t xml:space="preserve">For Ameren Illinois, the </w:t>
      </w:r>
      <w:r w:rsidR="003D2442">
        <w:t>phrase</w:t>
      </w:r>
      <w:r w:rsidRPr="003C22B1">
        <w:t xml:space="preserve"> “</w:t>
      </w:r>
      <w:r w:rsidR="003D2442">
        <w:t>overly accelerated and overly focused on replacement</w:t>
      </w:r>
      <w:r w:rsidRPr="003C22B1">
        <w:t>” deserves particular attention.</w:t>
      </w:r>
      <w:r w:rsidR="003D2442">
        <w:t xml:space="preserve"> It </w:t>
      </w:r>
      <w:r w:rsidRPr="003C22B1">
        <w:t xml:space="preserve">reflects </w:t>
      </w:r>
      <w:proofErr w:type="gramStart"/>
      <w:r w:rsidRPr="003C22B1">
        <w:t>a concern</w:t>
      </w:r>
      <w:proofErr w:type="gramEnd"/>
      <w:r w:rsidRPr="003C22B1">
        <w:t xml:space="preserve"> </w:t>
      </w:r>
      <w:proofErr w:type="gramStart"/>
      <w:r w:rsidRPr="003C22B1">
        <w:t>similar to</w:t>
      </w:r>
      <w:proofErr w:type="gramEnd"/>
      <w:r w:rsidRPr="003C22B1">
        <w:t xml:space="preserve"> the one raised in the Peoples Gas record and shows that the Commission’s scrutiny of timing, pace, and alternatives is already being applied to the company’s own proposals.</w:t>
      </w:r>
    </w:p>
    <w:p w14:paraId="0B0C37D9" w14:textId="77777777" w:rsidR="002400E4" w:rsidRDefault="003D2442">
      <w:pPr>
        <w:pStyle w:val="BodyText"/>
      </w:pPr>
      <w:r>
        <w:rPr>
          <w:b/>
          <w:bCs/>
        </w:rPr>
        <w:t>December 18, 2025, the reconciliation.</w:t>
      </w:r>
      <w:r>
        <w:t xml:space="preserve"> </w:t>
      </w:r>
      <w:r>
        <w:t xml:space="preserve">The Commission struck $11.2 million from Ameren’s $59.6 million multi-year rate reconciliation in the first proceeding under the new performance-based evaluation </w:t>
      </w:r>
      <w:proofErr w:type="gramStart"/>
      <w:r>
        <w:t>process, and</w:t>
      </w:r>
      <w:proofErr w:type="gramEnd"/>
      <w:r>
        <w:t xml:space="preserve"> directed Ameren to include affordability data updates and cost benefit analyses of grid plan projects in future reconciliation dockets.</w:t>
      </w:r>
    </w:p>
    <w:p w14:paraId="22446D38" w14:textId="77777777" w:rsidR="002400E4" w:rsidRDefault="003D2442">
      <w:pPr>
        <w:pStyle w:val="BodyText"/>
      </w:pPr>
      <w:r>
        <w:rPr>
          <w:b/>
          <w:bCs/>
        </w:rPr>
        <w:t>August 6, 2026.</w:t>
      </w:r>
      <w:r>
        <w:t xml:space="preserve"> </w:t>
      </w:r>
      <w:r>
        <w:t>In Docket 16-0376 the Commission partially granted discontinuation of legacy Peoples Gas reporting while refusing to relieve reporting on SIPI, emergency, and HP work, and directed a separate actual cost column so regulators and stakeholders can see actual CI/DI retirement costs by category.</w:t>
      </w:r>
    </w:p>
    <w:p w14:paraId="31FD7A63" w14:textId="77777777" w:rsidR="002400E4" w:rsidRDefault="003D2442">
      <w:pPr>
        <w:pStyle w:val="BodyText"/>
      </w:pPr>
      <w:r>
        <w:rPr>
          <w:b/>
          <w:bCs/>
        </w:rPr>
        <w:t>January 2026 to present, Docket 26-0065.</w:t>
      </w:r>
      <w:r>
        <w:t xml:space="preserve"> </w:t>
      </w:r>
      <w:r>
        <w:t xml:space="preserve">Peoples Gas filed a $202.3 million request on January 5, </w:t>
      </w:r>
      <w:proofErr w:type="gramStart"/>
      <w:r>
        <w:t>2026</w:t>
      </w:r>
      <w:proofErr w:type="gramEnd"/>
      <w:r>
        <w:t xml:space="preserve"> with a 10.1 percent ROE, citing roughly $600 million in planned investment through 2027. In May 2026 CUB, PIRG, and the Attorney General filed testimony seeking cuts of at least $137 million, with the AG calling for eliminating the increase entirely and giving customers a $4 million reduction. PIRG projected bills rising an average of $581 annually by 2035 and total customer cost of $15.2 billion through 2070, with $2 billion in savings available</w:t>
      </w:r>
      <w:r>
        <w:t xml:space="preserve"> from alternatives. In July 2026 Peoples Gas cut its request to roughly $144 million.</w:t>
      </w:r>
    </w:p>
    <w:p w14:paraId="2E42E565" w14:textId="77777777" w:rsidR="002400E4" w:rsidRDefault="003D2442">
      <w:pPr>
        <w:pStyle w:val="BodyText"/>
      </w:pPr>
      <w:r>
        <w:rPr>
          <w:b/>
          <w:bCs/>
        </w:rPr>
        <w:t>May 2026, the AG settlements.</w:t>
      </w:r>
      <w:r>
        <w:t xml:space="preserve"> Separate from the rate case, settlements involving the AG, ICC Staff, CUB, and the companies delivered more than $130 million in bill credits over three years, roughly $50 in 2026 and $40 in each of 2027 and 2028. Peoples Gas also agreed to remove $130 million in capital costs from rate base, which the AG estimated at $350 million in lifetime consumer savings.</w:t>
      </w:r>
    </w:p>
    <w:p w14:paraId="19E03EE9" w14:textId="77777777" w:rsidR="00881107" w:rsidRDefault="00881107">
      <w:pPr>
        <w:pStyle w:val="BodyText"/>
        <w:rPr>
          <w:kern w:val="2"/>
          <w14:ligatures w14:val="standardContextual"/>
        </w:rPr>
      </w:pPr>
      <w:r>
        <w:rPr>
          <w:b/>
          <w:bCs/>
        </w:rPr>
        <w:t>Plain-language script.</w:t>
      </w:r>
      <w:r>
        <w:t xml:space="preserve"> The ICC’s response developed over time rather than through one decision. Regulators first reviewed individual QIP costs and required refunds and assistance. In 2023, they cut the rate request, lowered the authorized return, paused most modernization spending, and created a low-income discount. In February 2025, they ended the broader program structure, refocused the work on cast and ductile iron pipe, imposed a 2035 deadline, and required independent monitoring. Later orders cut Nicor and Ameren Illinois requests where the utilities did not adequately explain need, timing, and pace. In the current Peoples Gas case, the company reduced its request from $202.3 million to roughly $144 million, while advocates continue to seek larger cuts. The broader lesson is that the ICC is now demanding project-level justification and clearer affordability evidence.</w:t>
      </w:r>
    </w:p>
    <w:p w14:paraId="0D0B940D" w14:textId="77777777" w:rsidR="002400E4" w:rsidRDefault="003D2442">
      <w:r>
        <w:pict w14:anchorId="7967EFFB">
          <v:rect id="_x0000_i1033" style="width:0;height:1.5pt" o:hralign="center" o:hrstd="t" o:hr="t"/>
        </w:pict>
      </w:r>
    </w:p>
    <w:p w14:paraId="72999450" w14:textId="77777777" w:rsidR="002400E4" w:rsidRDefault="003D2442">
      <w:pPr>
        <w:pStyle w:val="Heading1"/>
      </w:pPr>
      <w:bookmarkStart w:id="39" w:name="section-6.-how-the-utility-makes-money"/>
      <w:bookmarkStart w:id="40" w:name="_Toc241588821"/>
      <w:bookmarkStart w:id="41" w:name="_Toc241591533"/>
      <w:bookmarkEnd w:id="36"/>
      <w:r>
        <w:lastRenderedPageBreak/>
        <w:t xml:space="preserve">Section 6. How </w:t>
      </w:r>
      <w:proofErr w:type="gramStart"/>
      <w:r>
        <w:t>the Utility</w:t>
      </w:r>
      <w:proofErr w:type="gramEnd"/>
      <w:r>
        <w:t xml:space="preserve"> Makes Money</w:t>
      </w:r>
      <w:bookmarkEnd w:id="40"/>
      <w:bookmarkEnd w:id="41"/>
    </w:p>
    <w:p w14:paraId="7493433E" w14:textId="77777777" w:rsidR="002400E4" w:rsidRDefault="003D2442">
      <w:pPr>
        <w:pStyle w:val="FirstParagraph"/>
      </w:pPr>
      <w:r>
        <w:t>This is the mechanism most stakeholders misunderstand, and the one you should be able to explain in ninety seconds.</w:t>
      </w:r>
    </w:p>
    <w:p w14:paraId="0262C305" w14:textId="77777777" w:rsidR="002400E4" w:rsidRDefault="003D2442">
      <w:pPr>
        <w:pStyle w:val="BodyText"/>
      </w:pPr>
      <w:r>
        <w:rPr>
          <w:b/>
          <w:bCs/>
        </w:rPr>
        <w:t>The formula.</w:t>
      </w:r>
    </w:p>
    <w:p w14:paraId="7C21EE3C" w14:textId="77777777" w:rsidR="002400E4" w:rsidRDefault="003D2442">
      <w:pPr>
        <w:pStyle w:val="BodyText"/>
      </w:pPr>
      <w:r>
        <w:t>Revenue Requirement equals Operating Expenses plus Depreciation plus Taxes plus Rate Base multiplied by Weighted Average Cost of Capital.</w:t>
      </w:r>
    </w:p>
    <w:p w14:paraId="54E6655E" w14:textId="77777777" w:rsidR="002400E4" w:rsidRDefault="003D2442">
      <w:pPr>
        <w:pStyle w:val="BodyText"/>
      </w:pPr>
      <w:r>
        <w:t xml:space="preserve">Only the final term produces shareholder earnings. The utility does not profit </w:t>
      </w:r>
      <w:proofErr w:type="gramStart"/>
      <w:r>
        <w:t>on gas</w:t>
      </w:r>
      <w:proofErr w:type="gramEnd"/>
      <w:r>
        <w:t xml:space="preserve"> commodity, which passes through at cost. It does not profit </w:t>
      </w:r>
      <w:proofErr w:type="gramStart"/>
      <w:r>
        <w:t>on</w:t>
      </w:r>
      <w:proofErr w:type="gramEnd"/>
      <w:r>
        <w:t xml:space="preserve"> O&amp;M. It profits on invested capital.</w:t>
      </w:r>
    </w:p>
    <w:p w14:paraId="79EB2F16" w14:textId="77777777" w:rsidR="002400E4" w:rsidRDefault="003D2442">
      <w:pPr>
        <w:pStyle w:val="BodyText"/>
      </w:pPr>
      <w:r>
        <w:rPr>
          <w:b/>
          <w:bCs/>
        </w:rPr>
        <w:t>Rate base.</w:t>
      </w:r>
      <w:r>
        <w:t xml:space="preserve"> </w:t>
      </w:r>
      <w:r>
        <w:t>Net original cost of plant in service, plus working capital, less accumulated depreciation and accumulated deferred income taxes. Every dollar of prudent capital placed in service enlarges it.</w:t>
      </w:r>
    </w:p>
    <w:p w14:paraId="5F4E3180" w14:textId="77777777" w:rsidR="002400E4" w:rsidRDefault="003D2442">
      <w:pPr>
        <w:pStyle w:val="BodyText"/>
      </w:pPr>
      <w:proofErr w:type="gramStart"/>
      <w:r>
        <w:rPr>
          <w:b/>
          <w:bCs/>
        </w:rPr>
        <w:t>Weighted</w:t>
      </w:r>
      <w:proofErr w:type="gramEnd"/>
      <w:r>
        <w:rPr>
          <w:b/>
          <w:bCs/>
        </w:rPr>
        <w:t xml:space="preserve"> average cost of capital.</w:t>
      </w:r>
      <w:r>
        <w:t xml:space="preserve"> A blend of debt cost and authorized ROE applied to the equity layer. Nicor’s approved structure in November 2025 was 9.60 percent ROE on a 50.00 percent equity ratio, which is the cleanest recent public reference point for how these components combine.</w:t>
      </w:r>
    </w:p>
    <w:p w14:paraId="1CD7B9EF" w14:textId="77777777" w:rsidR="002400E4" w:rsidRDefault="003D2442">
      <w:pPr>
        <w:pStyle w:val="BodyText"/>
      </w:pPr>
      <w:r>
        <w:rPr>
          <w:b/>
          <w:bCs/>
        </w:rPr>
        <w:t xml:space="preserve">Why </w:t>
      </w:r>
      <w:proofErr w:type="gramStart"/>
      <w:r>
        <w:rPr>
          <w:b/>
          <w:bCs/>
        </w:rPr>
        <w:t>replacement is</w:t>
      </w:r>
      <w:proofErr w:type="gramEnd"/>
      <w:r>
        <w:rPr>
          <w:b/>
          <w:bCs/>
        </w:rPr>
        <w:t xml:space="preserve"> financially attractive regardless of intent.</w:t>
      </w:r>
      <w:r>
        <w:t xml:space="preserve"> Replacing a main is capital and earns a return for forty to seventy years. Repairing or monitoring a main is expense and earns nothing. That asymmetry is structural in </w:t>
      </w:r>
      <w:proofErr w:type="gramStart"/>
      <w:r>
        <w:t>cost of service</w:t>
      </w:r>
      <w:proofErr w:type="gramEnd"/>
      <w:r>
        <w:t xml:space="preserve"> regulation. It does not prove bad faith. It explains precisely why intervenors demand alternatives analysis and why the Commission now requires it.</w:t>
      </w:r>
    </w:p>
    <w:p w14:paraId="7D738D37" w14:textId="77777777" w:rsidR="002400E4" w:rsidRDefault="003D2442">
      <w:pPr>
        <w:pStyle w:val="BodyText"/>
      </w:pPr>
      <w:r>
        <w:rPr>
          <w:b/>
          <w:bCs/>
        </w:rPr>
        <w:t>What QIP changed.</w:t>
      </w:r>
      <w:r>
        <w:t xml:space="preserve"> </w:t>
      </w:r>
      <w:r>
        <w:t>Under a normal rate case, capital sits unrecovered until the next case, and that regulatory lag disciplines spending pace. QIP removed the lag through an automatic annual surcharge. Spending accelerated because the financial friction was gone. This is the clearest transferable lesson in the entire record.</w:t>
      </w:r>
    </w:p>
    <w:p w14:paraId="278124C6" w14:textId="77777777" w:rsidR="002400E4" w:rsidRDefault="003D2442">
      <w:pPr>
        <w:pStyle w:val="BodyText"/>
      </w:pPr>
      <w:r>
        <w:rPr>
          <w:b/>
          <w:bCs/>
        </w:rPr>
        <w:t>How the Commission claws value back.</w:t>
      </w:r>
      <w:r>
        <w:t xml:space="preserve"> </w:t>
      </w:r>
      <w:r>
        <w:t>Four levers, all visible in the benchmark table in Section 1.3: disallowance of imprudent cost, reduction of authorized ROE, removal of plant from rate base, and direct customer credits. All four have now been used against multiple Illinois utilities, and two produced SEC-disclosed earnings charges.</w:t>
      </w:r>
    </w:p>
    <w:p w14:paraId="5BAB0581" w14:textId="77777777" w:rsidR="00881107" w:rsidRDefault="00881107">
      <w:pPr>
        <w:pStyle w:val="BodyText"/>
        <w:rPr>
          <w:kern w:val="2"/>
          <w14:ligatures w14:val="standardContextual"/>
        </w:rPr>
      </w:pPr>
      <w:r>
        <w:rPr>
          <w:b/>
          <w:bCs/>
        </w:rPr>
        <w:t>Plain-language script.</w:t>
      </w:r>
      <w:r>
        <w:t xml:space="preserve"> A regulated utility </w:t>
      </w:r>
      <w:proofErr w:type="gramStart"/>
      <w:r>
        <w:t>earns</w:t>
      </w:r>
      <w:proofErr w:type="gramEnd"/>
      <w:r>
        <w:t xml:space="preserve"> for shareholders mainly by investing in assets that go into rate base. Routine operating expenses are generally recovered at cost, and the gas commodity itself is passed through without profit. A replacement main can earn a return over decades, while repairing or monitoring an existing main is usually an operating expense and does not earn a return. That does not prove improper intent, but it explains why regulators want utilities to compare replacement with less expensive alternatives. Rider QIP made capital recovery faster by removing normal regulatory lag. The </w:t>
      </w:r>
      <w:r>
        <w:lastRenderedPageBreak/>
        <w:t>ICC can later protect customers by disallowing costs, lowering the authorized return, removing plant from rate base, or ordering credits.</w:t>
      </w:r>
    </w:p>
    <w:p w14:paraId="0E27B00A" w14:textId="77777777" w:rsidR="002400E4" w:rsidRDefault="003D2442">
      <w:r>
        <w:pict w14:anchorId="613AA7D9">
          <v:rect id="_x0000_i1034" style="width:0;height:1.5pt" o:hralign="center" o:hrstd="t" o:hr="t"/>
        </w:pict>
      </w:r>
    </w:p>
    <w:p w14:paraId="112A2958" w14:textId="77777777" w:rsidR="002400E4" w:rsidRDefault="003D2442">
      <w:pPr>
        <w:pStyle w:val="Heading1"/>
      </w:pPr>
      <w:bookmarkStart w:id="42" w:name="section-7.-press-and-narrative"/>
      <w:bookmarkStart w:id="43" w:name="_Toc241588822"/>
      <w:bookmarkStart w:id="44" w:name="_Toc241591534"/>
      <w:bookmarkEnd w:id="39"/>
      <w:r>
        <w:t>Section 7. Press and Narrative</w:t>
      </w:r>
      <w:bookmarkEnd w:id="43"/>
      <w:bookmarkEnd w:id="44"/>
    </w:p>
    <w:p w14:paraId="12D9C73B" w14:textId="77777777" w:rsidR="002400E4" w:rsidRDefault="003D2442">
      <w:pPr>
        <w:pStyle w:val="FirstParagraph"/>
      </w:pPr>
      <w:r>
        <w:t>Coverage has been sustained, statewide, and consistently framed around affordability rather than safety.</w:t>
      </w:r>
    </w:p>
    <w:p w14:paraId="34E8F853" w14:textId="77777777" w:rsidR="002400E4" w:rsidRDefault="003D2442">
      <w:pPr>
        <w:pStyle w:val="BodyText"/>
      </w:pPr>
      <w:r>
        <w:t>The recurring media frame is over budget, behind schedule, record profits. That triad appears across ABC7, CBS Chicago, the Sun-Times, Capitol News Illinois, Crain’s, NPR Illinois, and Block Club.</w:t>
      </w:r>
    </w:p>
    <w:p w14:paraId="6CAE9211" w14:textId="77777777" w:rsidR="002400E4" w:rsidRDefault="003D2442">
      <w:pPr>
        <w:pStyle w:val="BodyText"/>
      </w:pPr>
      <w:r>
        <w:t xml:space="preserve">Consumer advocates have maintained exceptional message discipline. CUB and PIRG have used the same numbers, framing, and spokespeople for years. Polling released in 2023 showed Chicagoans opposed the rate </w:t>
      </w:r>
      <w:proofErr w:type="gramStart"/>
      <w:r>
        <w:t>hike</w:t>
      </w:r>
      <w:proofErr w:type="gramEnd"/>
      <w:r>
        <w:t xml:space="preserve"> 61 to 32, rising to 73 to 25 after hearing arguments against it.</w:t>
      </w:r>
    </w:p>
    <w:p w14:paraId="645B3E64" w14:textId="77777777" w:rsidR="002400E4" w:rsidRDefault="003D2442">
      <w:pPr>
        <w:pStyle w:val="BodyText"/>
      </w:pPr>
      <w:r>
        <w:t>The utility’s counter-message is equally consistent. Peoples Gas says the Commission directed the work, the work is necessary for safety, delay increases both risk and cost, and postponing essential infrastructure work is not a solution.</w:t>
      </w:r>
    </w:p>
    <w:p w14:paraId="0D1B81E9" w14:textId="77777777" w:rsidR="002400E4" w:rsidRDefault="003D2442">
      <w:pPr>
        <w:pStyle w:val="BodyText"/>
      </w:pPr>
      <w:r>
        <w:t>Notably, the Commission itself has become a quoted actor. Chairman Scott and Commissioner Paradis have both given on-the-record statements characterizing utility conduct, which is unusual and worth tracking.</w:t>
      </w:r>
    </w:p>
    <w:p w14:paraId="64E2339A" w14:textId="77777777" w:rsidR="00881107" w:rsidRDefault="00881107">
      <w:pPr>
        <w:pStyle w:val="BodyText"/>
        <w:rPr>
          <w:kern w:val="2"/>
          <w14:ligatures w14:val="standardContextual"/>
        </w:rPr>
      </w:pPr>
      <w:r>
        <w:rPr>
          <w:b/>
          <w:bCs/>
        </w:rPr>
        <w:t>Plain-language script.</w:t>
      </w:r>
      <w:r>
        <w:t xml:space="preserve"> The public story has been simple and effective: the program is over budget, behind schedule, and producing strong utility earnings while customers struggle with bills. Consumer advocates have repeated the same figures and themes for years, and polling shows those messages resonate. Peoples Gas answers that the work is required for safety, delay raises both risk and cost, and essential infrastructure cannot simply be postponed. The important communications lesson is that safety alone has not displaced the affordability narrative. A credible response needs to explain the necessity of the work, the controls on cost and pace, the alternatives considered, and the specific customer benefit.</w:t>
      </w:r>
    </w:p>
    <w:p w14:paraId="60061E4C" w14:textId="77777777" w:rsidR="002400E4" w:rsidRDefault="003D2442">
      <w:r>
        <w:pict w14:anchorId="0E10976E">
          <v:rect id="_x0000_i1035" style="width:0;height:1.5pt" o:hralign="center" o:hrstd="t" o:hr="t"/>
        </w:pict>
      </w:r>
    </w:p>
    <w:p w14:paraId="2FE03D2E" w14:textId="77777777" w:rsidR="002400E4" w:rsidRDefault="003D2442">
      <w:pPr>
        <w:pStyle w:val="Heading1"/>
      </w:pPr>
      <w:bookmarkStart w:id="45" w:name="section-8.-the-signers"/>
      <w:bookmarkStart w:id="46" w:name="_Toc241588823"/>
      <w:bookmarkStart w:id="47" w:name="_Toc241591535"/>
      <w:bookmarkEnd w:id="42"/>
      <w:r>
        <w:t>Section 8. The Signers</w:t>
      </w:r>
      <w:bookmarkEnd w:id="46"/>
      <w:bookmarkEnd w:id="47"/>
    </w:p>
    <w:p w14:paraId="2762DCB4" w14:textId="77777777" w:rsidR="002400E4" w:rsidRDefault="003D2442">
      <w:pPr>
        <w:pStyle w:val="FirstParagraph"/>
      </w:pPr>
      <w:r>
        <w:t>Thirty-eight signers: 18 Chicago alderpersons, 5 state senators, 15 state representatives.</w:t>
      </w:r>
    </w:p>
    <w:p w14:paraId="6DACDA8B" w14:textId="77777777" w:rsidR="002400E4" w:rsidRDefault="003D2442">
      <w:pPr>
        <w:pStyle w:val="BodyText"/>
      </w:pPr>
      <w:r>
        <w:rPr>
          <w:b/>
          <w:bCs/>
        </w:rPr>
        <w:t>Chicago City Council.</w:t>
      </w:r>
      <w:r>
        <w:t xml:space="preserve"> Curtis (18th), Fuentes (26th), Hadden (49th), Hopkins (2nd), Knudsen (43rd), La Spata (1st), Manaa-Hoppenworth (48th), Martin (47th), Quezada (35th), </w:t>
      </w:r>
      <w:r>
        <w:lastRenderedPageBreak/>
        <w:t>Ramirez (12th), Reilly (42nd), Rodriguez (22nd), Rodriguez (33rd), Sigcho-Lopez (25th), Taylor (20th), Vasquez (40th), Waguespack (32nd), Yancy (5th).</w:t>
      </w:r>
    </w:p>
    <w:p w14:paraId="64C517DA" w14:textId="77777777" w:rsidR="002400E4" w:rsidRDefault="003D2442">
      <w:pPr>
        <w:pStyle w:val="BodyText"/>
      </w:pPr>
      <w:r>
        <w:rPr>
          <w:b/>
          <w:bCs/>
        </w:rPr>
        <w:t>Illinois Senate.</w:t>
      </w:r>
      <w:r>
        <w:t xml:space="preserve"> Aquino (2nd), Cervantes (1st), Collins (5th), Guzman (20th), Simmons (7th).</w:t>
      </w:r>
    </w:p>
    <w:p w14:paraId="349EFCBA" w14:textId="77777777" w:rsidR="002400E4" w:rsidRDefault="003D2442">
      <w:pPr>
        <w:pStyle w:val="BodyText"/>
      </w:pPr>
      <w:r>
        <w:rPr>
          <w:b/>
          <w:bCs/>
        </w:rPr>
        <w:t>Illinois House.</w:t>
      </w:r>
      <w:r>
        <w:t xml:space="preserve"> Cassidy (14th), Crawford (31st), Gonzalez (23rd), Guzzardi (39th), Harper (6th), Huynh (13th), Jimenez (4th), LaPointe (19th), Mah (24th), Morris (9th), Olickal (16th), Ortiz (1st), Rashid (21st), Williams (11th), Davis (32nd).</w:t>
      </w:r>
    </w:p>
    <w:p w14:paraId="1784C141" w14:textId="77777777" w:rsidR="002400E4" w:rsidRDefault="003D2442">
      <w:pPr>
        <w:pStyle w:val="BodyText"/>
      </w:pPr>
      <w:r>
        <w:rPr>
          <w:b/>
          <w:bCs/>
        </w:rPr>
        <w:t>Reading the list.</w:t>
      </w:r>
      <w:r>
        <w:t xml:space="preserve"> </w:t>
      </w:r>
      <w:r>
        <w:t xml:space="preserve">Every </w:t>
      </w:r>
      <w:proofErr w:type="gramStart"/>
      <w:r>
        <w:t>signer</w:t>
      </w:r>
      <w:proofErr w:type="gramEnd"/>
      <w:r>
        <w:t xml:space="preserve"> is Chicago or immediately adjacent. The bloc skews progressive but includes downtown and near north wards through Hopkins, Reilly, and Knudsen, which signals this is not purely a left flank exercise. Rep. Ann Williams carries weight on energy policy beyond the letter itself. Sen. Guzman fronted the press conference.</w:t>
      </w:r>
    </w:p>
    <w:p w14:paraId="54D809FF" w14:textId="77777777" w:rsidR="002400E4" w:rsidRDefault="00531D26">
      <w:pPr>
        <w:pStyle w:val="BodyText"/>
      </w:pPr>
      <w:r w:rsidRPr="00531D26">
        <w:rPr>
          <w:b/>
          <w:bCs/>
        </w:rPr>
        <w:t>Coalition implications.</w:t>
      </w:r>
      <w:r w:rsidRPr="00531D26">
        <w:t xml:space="preserve"> The signer coalition does not include</w:t>
      </w:r>
      <w:r w:rsidR="003D2442">
        <w:t xml:space="preserve"> building trades</w:t>
      </w:r>
      <w:r w:rsidRPr="00531D26">
        <w:t>, organized</w:t>
      </w:r>
      <w:r w:rsidR="003D2442">
        <w:t xml:space="preserve"> labor </w:t>
      </w:r>
      <w:r w:rsidRPr="00531D26">
        <w:t>coalitions,</w:t>
      </w:r>
      <w:r w:rsidR="003D2442">
        <w:t xml:space="preserve"> business or economic development organizations</w:t>
      </w:r>
      <w:r w:rsidRPr="00531D26">
        <w:t>,</w:t>
      </w:r>
      <w:r w:rsidR="003D2442">
        <w:t xml:space="preserve"> downstate members</w:t>
      </w:r>
      <w:r w:rsidRPr="00531D26">
        <w:t>, or</w:t>
      </w:r>
      <w:r w:rsidR="003D2442">
        <w:t xml:space="preserve"> chamber leadership. </w:t>
      </w:r>
      <w:r w:rsidRPr="00531D26">
        <w:t>That composition suggests the current case is being advanced primarily through affordability and climate arguments. It also creates an opportunity to broaden the discussion with credible evidence on reliability, jobs, economic development, and customer cost impacts rather than treating those interests as automatic counterweights.</w:t>
      </w:r>
    </w:p>
    <w:p w14:paraId="111925A8" w14:textId="77777777" w:rsidR="00881107" w:rsidRDefault="00881107">
      <w:pPr>
        <w:pStyle w:val="BodyText"/>
        <w:rPr>
          <w:kern w:val="2"/>
          <w14:ligatures w14:val="standardContextual"/>
        </w:rPr>
      </w:pPr>
      <w:r>
        <w:rPr>
          <w:b/>
          <w:bCs/>
        </w:rPr>
        <w:t>Plain-language script.</w:t>
      </w:r>
      <w:r>
        <w:t xml:space="preserve"> The letter has broad support within Chicago, including 18 alderpersons, five state senators, and 15 state representatives. The group is mostly progressive but includes downtown and near north representation, so it should not be dismissed as a narrow political faction. At the same time, the coalition does not include organized labor, building trades, business or economic development groups, downstate members, or chamber leadership. That matters because the current argument is centered on affordability and climate. A broader discussion can add reliability, jobs, economic development, and total customer cost, provided those points are supported by evidence rather than used as slogans.</w:t>
      </w:r>
    </w:p>
    <w:p w14:paraId="44EAFD9C" w14:textId="77777777" w:rsidR="002400E4" w:rsidRDefault="003D2442">
      <w:r>
        <w:pict w14:anchorId="4ADF9304">
          <v:rect id="_x0000_i1036" style="width:0;height:1.5pt" o:hralign="center" o:hrstd="t" o:hr="t"/>
        </w:pict>
      </w:r>
    </w:p>
    <w:p w14:paraId="77C8EEDD" w14:textId="77777777" w:rsidR="002400E4" w:rsidRDefault="003D2442">
      <w:pPr>
        <w:pStyle w:val="Heading1"/>
      </w:pPr>
      <w:bookmarkStart w:id="48" w:name="X9cf5210dfc3f1ebc2b76e5a76d84ab4c673e388"/>
      <w:bookmarkStart w:id="49" w:name="_Toc241588824"/>
      <w:bookmarkStart w:id="50" w:name="_Toc241591536"/>
      <w:bookmarkEnd w:id="45"/>
      <w:r>
        <w:t>Section 9. What This Means for Ameren Illinois</w:t>
      </w:r>
      <w:bookmarkEnd w:id="49"/>
      <w:bookmarkEnd w:id="50"/>
    </w:p>
    <w:p w14:paraId="7EF9C3B1" w14:textId="77777777" w:rsidR="002400E4" w:rsidRDefault="003D2442">
      <w:pPr>
        <w:pStyle w:val="FirstParagraph"/>
      </w:pPr>
      <w:r>
        <w:rPr>
          <w:b/>
          <w:bCs/>
        </w:rPr>
        <w:t>Our own record is the starting point, not Peoples Gas.</w:t>
      </w:r>
      <w:r>
        <w:t xml:space="preserve"> </w:t>
      </w:r>
      <w:r>
        <w:t>The Commission cut our electric grid plan by roughly 75 percent in December 2024, set our electric ROE at 8.715 percent against a requested 9.27 percent, cut our gas request by 43 percent in November 2025, set our gas ROE at 9.60 percent against a requested 10.70 percent, and struck $11.2 million from our reconciliation in December 2025 while directing us to supply affordability data and cost benefit analyses in future filings.</w:t>
      </w:r>
    </w:p>
    <w:p w14:paraId="705582EE" w14:textId="77777777" w:rsidR="002400E4" w:rsidRDefault="003D2442">
      <w:pPr>
        <w:pStyle w:val="BodyText"/>
      </w:pPr>
      <w:r>
        <w:rPr>
          <w:b/>
          <w:bCs/>
        </w:rPr>
        <w:lastRenderedPageBreak/>
        <w:t>The MYIGP.</w:t>
      </w:r>
      <w:r>
        <w:t xml:space="preserve"> </w:t>
      </w:r>
      <w:r>
        <w:t>Ameren Illinois filed its second multi-year integrated grid plan covering 2028 to 2031 on January 20, 2026, aligned with CEJA and the Clean and Reliable Grid Affordability Act. The plan pairs infrastructure hardening with smarter grid technologies, faster outage response, demand-side resources, and customer programs, serving 1.2 million residential customers and 130,000 businesses.</w:t>
      </w:r>
    </w:p>
    <w:p w14:paraId="027E630F" w14:textId="77777777" w:rsidR="002400E4" w:rsidRDefault="003D2442">
      <w:pPr>
        <w:pStyle w:val="BodyText"/>
      </w:pPr>
      <w:r>
        <w:rPr>
          <w:b/>
          <w:bCs/>
        </w:rPr>
        <w:t>The evidentiary burden we should assume.</w:t>
      </w:r>
      <w:r>
        <w:t xml:space="preserve"> </w:t>
      </w:r>
      <w:r>
        <w:t>Based on the November 2025 orders, assume the Commission will ask three questions about every major program in the plan. Why is this needed. Why now and at this pace. What did you consider instead of replacement. The Nicor and Ameren disallowances were concentrated precisely where the utility failed to articulate need, timing, and pace.</w:t>
      </w:r>
    </w:p>
    <w:p w14:paraId="742051D7" w14:textId="77777777" w:rsidR="002400E4" w:rsidRDefault="003D2442">
      <w:pPr>
        <w:pStyle w:val="BodyText"/>
      </w:pPr>
      <w:r>
        <w:rPr>
          <w:b/>
          <w:bCs/>
        </w:rPr>
        <w:t>Next year’s return on projected investment.</w:t>
      </w:r>
      <w:r>
        <w:t xml:space="preserve"> </w:t>
      </w:r>
      <w:r>
        <w:t xml:space="preserve">The 9.60 percent gas figure and the 8.715 percent electric figure are the live benchmarks. The Peoples Gas outcome in Docket 26-0065, expected around December 2026, will reset the gas anchor one way or the other. Build the filing </w:t>
      </w:r>
      <w:proofErr w:type="gramStart"/>
      <w:r>
        <w:t>expecting</w:t>
      </w:r>
      <w:proofErr w:type="gramEnd"/>
      <w:r>
        <w:t xml:space="preserve"> to be compared.</w:t>
      </w:r>
    </w:p>
    <w:p w14:paraId="65C3C615" w14:textId="77777777" w:rsidR="002400E4" w:rsidRDefault="003D2442">
      <w:pPr>
        <w:pStyle w:val="BodyText"/>
      </w:pPr>
      <w:r>
        <w:rPr>
          <w:b/>
          <w:bCs/>
        </w:rPr>
        <w:t>Future of Gas.</w:t>
      </w:r>
      <w:r>
        <w:t xml:space="preserve"> </w:t>
      </w:r>
      <w:r>
        <w:t xml:space="preserve">Phase 2C produced a large set of policy recommendations across accelerated depreciation, non-pipeline alternatives, integrated gas and electric planning, long-term gas planning, obligation to provide heat, and line extension reform. The Commission has already ordered Staff to report </w:t>
      </w:r>
      <w:proofErr w:type="gramStart"/>
      <w:r>
        <w:t>on line</w:t>
      </w:r>
      <w:proofErr w:type="gramEnd"/>
      <w:r>
        <w:t xml:space="preserve"> extension allowances, noting that multiple states have ended the practice of existing customers subsidizing new connections. The final report is expected in December 2026.</w:t>
      </w:r>
    </w:p>
    <w:p w14:paraId="529D0104" w14:textId="77777777" w:rsidR="002400E4" w:rsidRDefault="003D2442">
      <w:pPr>
        <w:pStyle w:val="BodyText"/>
      </w:pPr>
      <w:r>
        <w:rPr>
          <w:b/>
          <w:bCs/>
        </w:rPr>
        <w:t>Where we are genuinely different.</w:t>
      </w:r>
      <w:r>
        <w:t xml:space="preserve"> </w:t>
      </w:r>
      <w:r>
        <w:t xml:space="preserve">Lower density, slower iron pipe exposure, </w:t>
      </w:r>
      <w:proofErr w:type="gramStart"/>
      <w:r>
        <w:t>an active</w:t>
      </w:r>
      <w:proofErr w:type="gramEnd"/>
      <w:r>
        <w:t xml:space="preserve"> economic development and large load story, and a reliability narrative that reaches labor and business constituencies the Peoples Gas coalition does not touch. We are not Peoples Gas. But the analytical standard travels, and in one respect, the depth of the grid plan cut, we have already been treated more severely.</w:t>
      </w:r>
    </w:p>
    <w:p w14:paraId="77070CFD" w14:textId="77777777" w:rsidR="00881107" w:rsidRDefault="00881107">
      <w:pPr>
        <w:pStyle w:val="BodyText"/>
        <w:rPr>
          <w:kern w:val="2"/>
          <w14:ligatures w14:val="standardContextual"/>
        </w:rPr>
      </w:pPr>
      <w:r>
        <w:rPr>
          <w:b/>
          <w:bCs/>
        </w:rPr>
        <w:t>Plain-language script.</w:t>
      </w:r>
      <w:r>
        <w:t xml:space="preserve"> Ameren Illinois should begin with its own regulatory record. The ICC cut our electric grid plan spending by about 75 percent, cut our gas request by about 43 percent, approved returns below what we requested, and later required more affordability data and cost-benefit analysis. That means the next MYIGP should answer three questions for every major investment: Why is it needed, why must it be done now and at this pace, and what alternatives </w:t>
      </w:r>
      <w:proofErr w:type="gramStart"/>
      <w:r>
        <w:t>were</w:t>
      </w:r>
      <w:proofErr w:type="gramEnd"/>
      <w:r>
        <w:t xml:space="preserve"> considered? Ameren is different from Peoples Gas because of its service territory, economic development opportunities, large-load growth, and reliability needs. But those differences will only matter if they are translated into a clear project-level record and measurable customer benefits.</w:t>
      </w:r>
    </w:p>
    <w:p w14:paraId="4B94D5A5" w14:textId="77777777" w:rsidR="002400E4" w:rsidRDefault="003D2442">
      <w:r>
        <w:pict w14:anchorId="6D9DDFBE">
          <v:rect id="_x0000_i1037" style="width:0;height:1.5pt" o:hralign="center" o:hrstd="t" o:hr="t"/>
        </w:pict>
      </w:r>
    </w:p>
    <w:p w14:paraId="7B32F2B9" w14:textId="77777777" w:rsidR="002400E4" w:rsidRDefault="003D2442">
      <w:pPr>
        <w:pStyle w:val="Heading1"/>
      </w:pPr>
      <w:bookmarkStart w:id="51" w:name="X4e87699f354f17660ca9e9d731155688a02b0d5"/>
      <w:bookmarkStart w:id="52" w:name="_Toc241588825"/>
      <w:bookmarkStart w:id="53" w:name="_Toc241591537"/>
      <w:bookmarkEnd w:id="48"/>
      <w:r>
        <w:t>Section 10. Political Implication Hypothesis and Forecast</w:t>
      </w:r>
      <w:bookmarkEnd w:id="52"/>
      <w:bookmarkEnd w:id="53"/>
    </w:p>
    <w:p w14:paraId="24836D86" w14:textId="77777777" w:rsidR="002400E4" w:rsidRDefault="003D2442">
      <w:pPr>
        <w:pStyle w:val="FirstParagraph"/>
      </w:pPr>
      <w:r>
        <w:rPr>
          <w:b/>
          <w:bCs/>
        </w:rPr>
        <w:t>Near term, through spring session 2027.</w:t>
      </w:r>
    </w:p>
    <w:p w14:paraId="67BC865B" w14:textId="77777777" w:rsidR="002400E4" w:rsidRDefault="00730DA9">
      <w:pPr>
        <w:pStyle w:val="BodyText"/>
      </w:pPr>
      <w:r w:rsidRPr="00730DA9">
        <w:rPr>
          <w:b/>
          <w:bCs/>
        </w:rPr>
        <w:lastRenderedPageBreak/>
        <w:t>Base case.</w:t>
      </w:r>
      <w:r w:rsidRPr="00730DA9">
        <w:t xml:space="preserve"> Recent orders suggest that the final decision in Docket 26-0065 is likely to approve an increase below the approximately $144 million request and may authorize an ROE at or below the 9.60 percent level approved for Nicor and Ameren Illinois gas in 2025. This is a forecast based on recent Commission practice, not an established outcome. Indicators to watch include the proposed order, treatment of disputed capital projects, Staff’s ROE position, and the weight given to affordability evidence.</w:t>
      </w:r>
    </w:p>
    <w:p w14:paraId="6367CCFA" w14:textId="77777777" w:rsidR="002400E4" w:rsidRDefault="0024019F">
      <w:pPr>
        <w:pStyle w:val="BodyText"/>
      </w:pPr>
      <w:r w:rsidRPr="0024019F">
        <w:rPr>
          <w:b/>
          <w:bCs/>
        </w:rPr>
        <w:t>Legislative outlook.</w:t>
      </w:r>
      <w:r w:rsidRPr="0024019F">
        <w:t xml:space="preserve"> A legislative proposal could emerge in the 2027 spring session, particularly if the final rate order or the Future of Gas report intensifies affordability concerns. Plausible approaches include </w:t>
      </w:r>
      <w:r w:rsidR="003D2442">
        <w:t xml:space="preserve">gas infrastructure planning </w:t>
      </w:r>
      <w:r w:rsidRPr="0024019F">
        <w:t>requirements,</w:t>
      </w:r>
      <w:r w:rsidR="003D2442">
        <w:t xml:space="preserve"> non-pipeline alternatives </w:t>
      </w:r>
      <w:r w:rsidRPr="0024019F">
        <w:t>analysis</w:t>
      </w:r>
      <w:r w:rsidR="003D2442">
        <w:t xml:space="preserve">, or a mandatory cost-benefit screen </w:t>
      </w:r>
      <w:r w:rsidRPr="0024019F">
        <w:t>for major</w:t>
      </w:r>
      <w:r w:rsidR="003D2442">
        <w:t xml:space="preserve"> capital programs</w:t>
      </w:r>
      <w:r w:rsidRPr="0024019F">
        <w:t>. Renewal of a</w:t>
      </w:r>
      <w:r w:rsidR="003D2442">
        <w:t xml:space="preserve"> QIP-style automatic recovery </w:t>
      </w:r>
      <w:r w:rsidRPr="0024019F">
        <w:t>mechanism appears unlikely in</w:t>
      </w:r>
      <w:r w:rsidR="003D2442">
        <w:t xml:space="preserve"> the </w:t>
      </w:r>
      <w:r w:rsidRPr="0024019F">
        <w:t>near term. Indicators to watch include bill introductions, sponsor composition, labor and business engagement, and whether the debate expands beyond Chicago.</w:t>
      </w:r>
    </w:p>
    <w:p w14:paraId="0655D207" w14:textId="77777777" w:rsidR="002400E4" w:rsidRDefault="003D2442">
      <w:pPr>
        <w:pStyle w:val="BodyText"/>
      </w:pPr>
      <w:r>
        <w:rPr>
          <w:b/>
          <w:bCs/>
        </w:rPr>
        <w:t>Medium term, two to four years.</w:t>
      </w:r>
    </w:p>
    <w:p w14:paraId="3E733F75" w14:textId="77777777" w:rsidR="002400E4" w:rsidRDefault="003D2442">
      <w:pPr>
        <w:pStyle w:val="BodyText"/>
      </w:pPr>
      <w:r>
        <w:t xml:space="preserve">The Future of Gas final report in December 2026 becomes the policy blueprint. Integrated gas and electric planning </w:t>
      </w:r>
      <w:proofErr w:type="gramStart"/>
      <w:r>
        <w:t>is</w:t>
      </w:r>
      <w:proofErr w:type="gramEnd"/>
      <w:r>
        <w:t xml:space="preserve"> the most likely structural outcome. If adopted, gas capital plans must be justified against electric system alternatives, which changes the analytical burden for every gas utility in the state.</w:t>
      </w:r>
    </w:p>
    <w:p w14:paraId="53C670DC" w14:textId="77777777" w:rsidR="002400E4" w:rsidRDefault="003D2442">
      <w:pPr>
        <w:pStyle w:val="BodyText"/>
      </w:pPr>
      <w:r>
        <w:t xml:space="preserve">Accelerated depreciation is the sleeper issue. Requiring depreciation </w:t>
      </w:r>
      <w:proofErr w:type="gramStart"/>
      <w:r>
        <w:t>studies that</w:t>
      </w:r>
      <w:proofErr w:type="gramEnd"/>
      <w:r>
        <w:t xml:space="preserve"> model declining throughput shortens recovery periods, raises near-term rates, and creates a new affordability fight. Utilities should be careful what they ask for on stranded asset protection.</w:t>
      </w:r>
    </w:p>
    <w:p w14:paraId="213C2AC2" w14:textId="77777777" w:rsidR="002400E4" w:rsidRDefault="003D2442">
      <w:pPr>
        <w:pStyle w:val="BodyText"/>
      </w:pPr>
      <w:r>
        <w:t xml:space="preserve">Line extension allowance reform is the underrated </w:t>
      </w:r>
      <w:proofErr w:type="gramStart"/>
      <w:r>
        <w:t>near-certainty</w:t>
      </w:r>
      <w:proofErr w:type="gramEnd"/>
      <w:r>
        <w:t>. The Commission has already ordered the study and flagged other states ending the practice.</w:t>
      </w:r>
    </w:p>
    <w:p w14:paraId="63D57DE8" w14:textId="77777777" w:rsidR="002400E4" w:rsidRDefault="003D2442">
      <w:pPr>
        <w:pStyle w:val="BodyText"/>
      </w:pPr>
      <w:r>
        <w:rPr>
          <w:b/>
          <w:bCs/>
        </w:rPr>
        <w:t>Longer term, five years and beyond.</w:t>
      </w:r>
    </w:p>
    <w:p w14:paraId="478912F5" w14:textId="77777777" w:rsidR="002400E4" w:rsidRDefault="003D2442">
      <w:pPr>
        <w:pStyle w:val="BodyText"/>
      </w:pPr>
      <w:r>
        <w:t>Two scenarios.</w:t>
      </w:r>
    </w:p>
    <w:p w14:paraId="79BAF285" w14:textId="77777777" w:rsidR="002400E4" w:rsidRDefault="003D2442">
      <w:pPr>
        <w:pStyle w:val="BodyText"/>
      </w:pPr>
      <w:r>
        <w:rPr>
          <w:i/>
          <w:iCs/>
        </w:rPr>
        <w:t>Scenario A, planning-first regime</w:t>
      </w:r>
      <w:r w:rsidR="00323761" w:rsidRPr="00323761">
        <w:rPr>
          <w:i/>
          <w:iCs/>
        </w:rPr>
        <w:t>.</w:t>
      </w:r>
      <w:r>
        <w:t xml:space="preserve"> Capital approval </w:t>
      </w:r>
      <w:r w:rsidR="00323761" w:rsidRPr="00323761">
        <w:t xml:space="preserve">increasingly </w:t>
      </w:r>
      <w:r>
        <w:t xml:space="preserve">precedes investment, alternatives screening </w:t>
      </w:r>
      <w:r w:rsidR="00323761" w:rsidRPr="00323761">
        <w:t>becomes a standard expectation</w:t>
      </w:r>
      <w:r>
        <w:t xml:space="preserve">, and utilities earn on approved plans with performance conditions attached. </w:t>
      </w:r>
      <w:r w:rsidR="00323761" w:rsidRPr="00323761">
        <w:t>This scenario becomes more likely if the Commission continues using existing authority to impose planning and reporting requirements and if the General Assembly shows limited interest in prescribing rate outcomes directly.</w:t>
      </w:r>
    </w:p>
    <w:p w14:paraId="22C7E123" w14:textId="77777777" w:rsidR="002400E4" w:rsidRDefault="003D2442">
      <w:pPr>
        <w:pStyle w:val="BodyText"/>
      </w:pPr>
      <w:r>
        <w:rPr>
          <w:i/>
          <w:iCs/>
        </w:rPr>
        <w:t xml:space="preserve">Scenario B, legislative </w:t>
      </w:r>
      <w:r w:rsidR="00F04650" w:rsidRPr="00F04650">
        <w:rPr>
          <w:i/>
          <w:iCs/>
        </w:rPr>
        <w:t>constraints.</w:t>
      </w:r>
      <w:r>
        <w:t xml:space="preserve"> </w:t>
      </w:r>
      <w:r>
        <w:t xml:space="preserve">Affordability pressure </w:t>
      </w:r>
      <w:r w:rsidR="00F04650" w:rsidRPr="00F04650">
        <w:t>prompts</w:t>
      </w:r>
      <w:r>
        <w:t xml:space="preserve"> the General Assembly </w:t>
      </w:r>
      <w:r w:rsidR="00F04650" w:rsidRPr="00F04650">
        <w:t>to impose more prescriptive requirements</w:t>
      </w:r>
      <w:r>
        <w:t xml:space="preserve">, potentially including rate caps, </w:t>
      </w:r>
      <w:r>
        <w:t xml:space="preserve">securitization </w:t>
      </w:r>
      <w:r w:rsidR="00F04650" w:rsidRPr="00F04650">
        <w:t>tools for</w:t>
      </w:r>
      <w:r>
        <w:t xml:space="preserve"> stranded gas </w:t>
      </w:r>
      <w:r w:rsidR="00F04650" w:rsidRPr="00F04650">
        <w:t>assets</w:t>
      </w:r>
      <w:r>
        <w:t xml:space="preserve">, or restrictions on new gas line extensions. </w:t>
      </w:r>
      <w:r w:rsidR="00F04650" w:rsidRPr="00F04650">
        <w:t>This scenario becomes more likely if customer bills rise sharply, arrearages worsen, or a broader coalition forms around direct legislative intervention.</w:t>
      </w:r>
    </w:p>
    <w:p w14:paraId="448CFA97" w14:textId="77777777" w:rsidR="002400E4" w:rsidRDefault="00A81249">
      <w:pPr>
        <w:pStyle w:val="BodyText"/>
      </w:pPr>
      <w:r w:rsidRPr="00A81249">
        <w:rPr>
          <w:b/>
          <w:bCs/>
        </w:rPr>
        <w:lastRenderedPageBreak/>
        <w:t>An underexamined</w:t>
      </w:r>
      <w:r w:rsidR="003D2442">
        <w:rPr>
          <w:b/>
          <w:bCs/>
        </w:rPr>
        <w:t xml:space="preserve"> risk</w:t>
      </w:r>
      <w:r w:rsidRPr="00A81249">
        <w:rPr>
          <w:b/>
          <w:bCs/>
        </w:rPr>
        <w:t>.</w:t>
      </w:r>
      <w:r w:rsidR="003D2442">
        <w:t xml:space="preserve"> </w:t>
      </w:r>
      <w:r w:rsidR="003D2442">
        <w:t xml:space="preserve">If the Commission continues </w:t>
      </w:r>
      <w:r w:rsidRPr="00A81249">
        <w:t>reducing requested recovery</w:t>
      </w:r>
      <w:r w:rsidR="003D2442">
        <w:t xml:space="preserve"> while </w:t>
      </w:r>
      <w:r w:rsidRPr="00A81249">
        <w:t>also requiring accelerated</w:t>
      </w:r>
      <w:r w:rsidR="003D2442">
        <w:t xml:space="preserve"> work, utilities </w:t>
      </w:r>
      <w:r w:rsidRPr="00A81249">
        <w:t xml:space="preserve">may </w:t>
      </w:r>
      <w:r w:rsidR="003D2442">
        <w:t xml:space="preserve">face a widening gap between </w:t>
      </w:r>
      <w:r w:rsidRPr="00A81249">
        <w:t>mandated</w:t>
      </w:r>
      <w:r w:rsidR="003D2442">
        <w:t xml:space="preserve"> investment and authorized recovery. </w:t>
      </w:r>
      <w:r w:rsidRPr="00A81249">
        <w:t xml:space="preserve">Depending on the magnitude and duration of that gap, the effects could include credit pressure, smaller capital plans, delayed projects, or litigation. </w:t>
      </w:r>
      <w:r w:rsidR="003D2442">
        <w:t xml:space="preserve">Peoples </w:t>
      </w:r>
      <w:r w:rsidRPr="00A81249">
        <w:t>Gas’s</w:t>
      </w:r>
      <w:r w:rsidR="003D2442">
        <w:t xml:space="preserve"> proposed </w:t>
      </w:r>
      <w:r w:rsidR="003D2442">
        <w:t>Section 8-406 CPCN modification</w:t>
      </w:r>
      <w:r w:rsidRPr="00A81249">
        <w:t xml:space="preserve">, which would require </w:t>
      </w:r>
      <w:r w:rsidR="003D2442">
        <w:t xml:space="preserve">Commission </w:t>
      </w:r>
      <w:r w:rsidRPr="00A81249">
        <w:t>action on</w:t>
      </w:r>
      <w:r w:rsidR="003D2442">
        <w:t xml:space="preserve"> urgent safety infrastructure within 180 days, </w:t>
      </w:r>
      <w:r w:rsidR="003D2442">
        <w:t xml:space="preserve">is an early </w:t>
      </w:r>
      <w:r w:rsidRPr="00A81249">
        <w:t>indicator</w:t>
      </w:r>
      <w:r w:rsidR="003D2442">
        <w:t xml:space="preserve"> of </w:t>
      </w:r>
      <w:r w:rsidR="003D2442">
        <w:t>that tension.</w:t>
      </w:r>
    </w:p>
    <w:p w14:paraId="2AC638B8" w14:textId="77777777" w:rsidR="00881107" w:rsidRDefault="00881107">
      <w:pPr>
        <w:pStyle w:val="BodyText"/>
        <w:rPr>
          <w:kern w:val="2"/>
          <w14:ligatures w14:val="standardContextual"/>
        </w:rPr>
      </w:pPr>
      <w:r>
        <w:rPr>
          <w:b/>
          <w:bCs/>
        </w:rPr>
        <w:t>Plain-language script.</w:t>
      </w:r>
      <w:r>
        <w:t xml:space="preserve"> In the near term, the most likely outcome is that the ICC approves less than Peoples Gas’s current request and keeps the authorized return near recent Illinois gas benchmarks. The final Future of Gas report could then shape legislation on long-term gas planning, alternatives, cost-benefit review, depreciation, and new-line subsidies. Over time, Illinois could move toward one of two models: a planning-first system in which projects are approved in advance with performance conditions, or a more prescriptive legislative system driven by affordability pressure. The risk to watch is a widening gap between work the state requires and recovery the Commission allows, because that could affect credit, project timing, capital plans, or litigation.</w:t>
      </w:r>
    </w:p>
    <w:p w14:paraId="3DEEC669" w14:textId="77777777" w:rsidR="002400E4" w:rsidRDefault="003D2442">
      <w:r>
        <w:pict w14:anchorId="2FE56B47">
          <v:rect id="_x0000_i1038" style="width:0;height:1.5pt" o:hralign="center" o:hrstd="t" o:hr="t"/>
        </w:pict>
      </w:r>
    </w:p>
    <w:p w14:paraId="5B6A10A6" w14:textId="77777777" w:rsidR="002400E4" w:rsidRDefault="003D2442">
      <w:pPr>
        <w:pStyle w:val="Heading1"/>
      </w:pPr>
      <w:bookmarkStart w:id="54" w:name="Xebd27b43c4025ef14e698dc8663fef913ab7f66"/>
      <w:bookmarkStart w:id="55" w:name="_Toc241588826"/>
      <w:bookmarkStart w:id="56" w:name="_Toc241591538"/>
      <w:bookmarkEnd w:id="51"/>
      <w:r>
        <w:t>Section 11. Affordability Across Illinois</w:t>
      </w:r>
      <w:bookmarkEnd w:id="55"/>
      <w:bookmarkEnd w:id="56"/>
    </w:p>
    <w:p w14:paraId="17CAEE9F" w14:textId="77777777" w:rsidR="002400E4" w:rsidRDefault="003D2442">
      <w:pPr>
        <w:pStyle w:val="FirstParagraph"/>
      </w:pPr>
      <w:r>
        <w:t>The affordability problem is not primarily a commodity problem. It is a delivery charge problem driven by capital recovery.</w:t>
      </w:r>
    </w:p>
    <w:p w14:paraId="727895FE" w14:textId="77777777" w:rsidR="002400E4" w:rsidRDefault="003D2442">
      <w:pPr>
        <w:pStyle w:val="BodyText"/>
      </w:pPr>
      <w:r>
        <w:t xml:space="preserve">That means relief can only come from four places: slowing capital deployment, lengthening recovery periods, lowering authorized returns, or subsidizing </w:t>
      </w:r>
      <w:proofErr w:type="gramStart"/>
      <w:r>
        <w:t>low income</w:t>
      </w:r>
      <w:proofErr w:type="gramEnd"/>
      <w:r>
        <w:t xml:space="preserve"> customers directly.</w:t>
      </w:r>
    </w:p>
    <w:p w14:paraId="2C73C64A" w14:textId="77777777" w:rsidR="002400E4" w:rsidRDefault="003D2442">
      <w:pPr>
        <w:pStyle w:val="BodyText"/>
      </w:pPr>
      <w:r>
        <w:t xml:space="preserve">Illinois has deployed the fourth lever aggressively. Peoples Gas customers can receive up to an 83 percent </w:t>
      </w:r>
      <w:proofErr w:type="gramStart"/>
      <w:r>
        <w:t>low income</w:t>
      </w:r>
      <w:proofErr w:type="gramEnd"/>
      <w:r>
        <w:t xml:space="preserve"> discount. In November 2025 the Commission went further, directing both Nicor and Ameren to maintain a 3 percent energy burden for all customers by adjusting the </w:t>
      </w:r>
      <w:proofErr w:type="gramStart"/>
      <w:r>
        <w:t>low income</w:t>
      </w:r>
      <w:proofErr w:type="gramEnd"/>
      <w:r>
        <w:t xml:space="preserve"> discount, explicitly citing 3 percent as a nationally recognized affordability measure.</w:t>
      </w:r>
    </w:p>
    <w:p w14:paraId="217E998B" w14:textId="77777777" w:rsidR="002400E4" w:rsidRDefault="003D2442">
      <w:pPr>
        <w:pStyle w:val="BodyText"/>
      </w:pPr>
      <w:r>
        <w:t>That 3 percent energy burden standard is a structural development that deserves more attention than it has received. It converts affordability from a rhetorical argument into a measurable compliance target, and once a number is in an order, it tends to migrate.</w:t>
      </w:r>
    </w:p>
    <w:p w14:paraId="7DE22AA5" w14:textId="77777777" w:rsidR="002400E4" w:rsidRDefault="003D2442">
      <w:pPr>
        <w:pStyle w:val="BodyText"/>
      </w:pPr>
      <w:r>
        <w:t xml:space="preserve">For every Illinois utility, the practical </w:t>
      </w:r>
      <w:r w:rsidR="00122488" w:rsidRPr="00122488">
        <w:t xml:space="preserve">evidentiary </w:t>
      </w:r>
      <w:r>
        <w:t xml:space="preserve">burden </w:t>
      </w:r>
      <w:r w:rsidR="00122488" w:rsidRPr="00122488">
        <w:t>is increasing.</w:t>
      </w:r>
      <w:r>
        <w:t xml:space="preserve"> Demonstrating that an investment is prudent </w:t>
      </w:r>
      <w:r w:rsidR="00122488" w:rsidRPr="00122488">
        <w:t>may</w:t>
      </w:r>
      <w:r>
        <w:t xml:space="preserve"> no longer </w:t>
      </w:r>
      <w:r w:rsidR="00122488" w:rsidRPr="00122488">
        <w:t xml:space="preserve">be </w:t>
      </w:r>
      <w:r>
        <w:t>sufficient</w:t>
      </w:r>
      <w:r w:rsidR="00122488" w:rsidRPr="00122488">
        <w:t xml:space="preserve"> on its own.</w:t>
      </w:r>
      <w:r>
        <w:t xml:space="preserve"> The emerging </w:t>
      </w:r>
      <w:r w:rsidR="00122488" w:rsidRPr="00122488">
        <w:t xml:space="preserve">expectation is that the utility also </w:t>
      </w:r>
      <w:proofErr w:type="gramStart"/>
      <w:r w:rsidR="00122488" w:rsidRPr="00122488">
        <w:t>show</w:t>
      </w:r>
      <w:proofErr w:type="gramEnd"/>
      <w:r w:rsidR="00122488" w:rsidRPr="00122488">
        <w:t xml:space="preserve"> why the proposed approach is preferable to reasonable alternatives and quantify the resulting customer bill impacts.</w:t>
      </w:r>
    </w:p>
    <w:p w14:paraId="5D0FC59C" w14:textId="77777777" w:rsidR="00881107" w:rsidRDefault="00881107">
      <w:pPr>
        <w:pStyle w:val="BodyText"/>
        <w:rPr>
          <w:kern w:val="2"/>
          <w14:ligatures w14:val="standardContextual"/>
        </w:rPr>
      </w:pPr>
      <w:r>
        <w:rPr>
          <w:b/>
          <w:bCs/>
        </w:rPr>
        <w:t>Plain-language script.</w:t>
      </w:r>
      <w:r>
        <w:t xml:space="preserve"> The affordability problem is increasingly tied to delivery charges and long-lived capital investment, not just the price of gas or electricity. Regulators can </w:t>
      </w:r>
      <w:r>
        <w:lastRenderedPageBreak/>
        <w:t>respond by slowing investment, spreading recovery over a longer period, lowering returns, or providing direct assistance. Illinois has relied heavily on low-income discounts and has now used a 3 percent energy-burden target for Nicor and Ameren. That turns affordability into something measurable. Going forward, utilities should expect to show not only that an investment is reasonable, but also what it will do to customer bills and why the chosen approach is better than realistic alternatives.</w:t>
      </w:r>
    </w:p>
    <w:p w14:paraId="3656B9AB" w14:textId="77777777" w:rsidR="002400E4" w:rsidRDefault="003D2442">
      <w:r>
        <w:pict w14:anchorId="04EFBE13">
          <v:rect id="_x0000_i1039" style="width:0;height:1.5pt" o:hralign="center" o:hrstd="t" o:hr="t"/>
        </w:pict>
      </w:r>
    </w:p>
    <w:p w14:paraId="71CE9FE3" w14:textId="77777777" w:rsidR="002400E4" w:rsidRDefault="003D2442">
      <w:pPr>
        <w:pStyle w:val="Heading1"/>
      </w:pPr>
      <w:bookmarkStart w:id="57" w:name="section-12.-self-check-questions"/>
      <w:bookmarkStart w:id="58" w:name="_Toc241588827"/>
      <w:bookmarkStart w:id="59" w:name="_Toc241591539"/>
      <w:bookmarkEnd w:id="54"/>
      <w:r>
        <w:t>Section 12. Self-Check Questions</w:t>
      </w:r>
      <w:bookmarkEnd w:id="58"/>
      <w:bookmarkEnd w:id="59"/>
    </w:p>
    <w:p w14:paraId="2407BB91" w14:textId="77777777" w:rsidR="002400E4" w:rsidRDefault="003D2442">
      <w:pPr>
        <w:pStyle w:val="FirstParagraph"/>
      </w:pPr>
      <w:r>
        <w:t>Answer from memory first. Answers follow.</w:t>
      </w:r>
    </w:p>
    <w:p w14:paraId="6051AA2E" w14:textId="77777777" w:rsidR="002400E4" w:rsidRDefault="003D2442">
      <w:pPr>
        <w:pStyle w:val="Compact"/>
        <w:numPr>
          <w:ilvl w:val="0"/>
          <w:numId w:val="3"/>
        </w:numPr>
      </w:pPr>
      <w:r>
        <w:t>What is the operative rate request amount in Docket 26-0065 today, and how does it differ from the original filing?</w:t>
      </w:r>
    </w:p>
    <w:p w14:paraId="3C98ED95" w14:textId="77777777" w:rsidR="002400E4" w:rsidRDefault="003D2442">
      <w:pPr>
        <w:pStyle w:val="Compact"/>
        <w:numPr>
          <w:ilvl w:val="0"/>
          <w:numId w:val="3"/>
        </w:numPr>
      </w:pPr>
      <w:r>
        <w:t>What authorized ROE did the Commission approve for Nicor and Ameren Illinois gas in November 2025, and what had each requested?</w:t>
      </w:r>
    </w:p>
    <w:p w14:paraId="3BA66738" w14:textId="77777777" w:rsidR="002400E4" w:rsidRDefault="003D2442">
      <w:pPr>
        <w:pStyle w:val="Compact"/>
        <w:numPr>
          <w:ilvl w:val="0"/>
          <w:numId w:val="3"/>
        </w:numPr>
      </w:pPr>
      <w:r>
        <w:t>By what percentage did the Commission cut Ameren’s electric grid plan spending in December 2024?</w:t>
      </w:r>
    </w:p>
    <w:p w14:paraId="58802A1C" w14:textId="77777777" w:rsidR="002400E4" w:rsidRDefault="003D2442">
      <w:pPr>
        <w:pStyle w:val="Compact"/>
        <w:numPr>
          <w:ilvl w:val="0"/>
          <w:numId w:val="3"/>
        </w:numPr>
      </w:pPr>
      <w:r>
        <w:t>What statute created Rider QIP, and what did it change about cost recovery?</w:t>
      </w:r>
    </w:p>
    <w:p w14:paraId="4B6361FB" w14:textId="77777777" w:rsidR="002400E4" w:rsidRDefault="003D2442">
      <w:pPr>
        <w:pStyle w:val="Compact"/>
        <w:numPr>
          <w:ilvl w:val="0"/>
          <w:numId w:val="3"/>
        </w:numPr>
      </w:pPr>
      <w:r>
        <w:t>Name the four levers the Commission uses to claw back value from utility capital spending.</w:t>
      </w:r>
    </w:p>
    <w:p w14:paraId="37E99156" w14:textId="77777777" w:rsidR="002400E4" w:rsidRDefault="003D2442">
      <w:pPr>
        <w:pStyle w:val="Compact"/>
        <w:numPr>
          <w:ilvl w:val="0"/>
          <w:numId w:val="3"/>
        </w:numPr>
      </w:pPr>
      <w:r>
        <w:t>What phrase did the Commission use to describe Ameren’s transmission investment program in November 2025?</w:t>
      </w:r>
    </w:p>
    <w:p w14:paraId="13113A6D" w14:textId="77777777" w:rsidR="002400E4" w:rsidRDefault="003D2442">
      <w:pPr>
        <w:pStyle w:val="Compact"/>
        <w:numPr>
          <w:ilvl w:val="0"/>
          <w:numId w:val="3"/>
        </w:numPr>
      </w:pPr>
      <w:r>
        <w:t>Which two claims in the elected official letter should be treated as advocacy-derived rather than verified?</w:t>
      </w:r>
    </w:p>
    <w:p w14:paraId="0A5D5F7D" w14:textId="77777777" w:rsidR="002400E4" w:rsidRDefault="003D2442">
      <w:pPr>
        <w:pStyle w:val="Compact"/>
        <w:numPr>
          <w:ilvl w:val="0"/>
          <w:numId w:val="3"/>
        </w:numPr>
      </w:pPr>
      <w:r>
        <w:t>What two structural features make the Peoples Gas remedy unique among Illinois gas utilities?</w:t>
      </w:r>
    </w:p>
    <w:p w14:paraId="41C6CD37" w14:textId="77777777" w:rsidR="002400E4" w:rsidRDefault="003D2442">
      <w:pPr>
        <w:pStyle w:val="Compact"/>
        <w:numPr>
          <w:ilvl w:val="0"/>
          <w:numId w:val="3"/>
        </w:numPr>
      </w:pPr>
      <w:r>
        <w:t>What energy burden percentage did the Commission adopt as an affordability standard in November 2025?</w:t>
      </w:r>
    </w:p>
    <w:p w14:paraId="6168F99E" w14:textId="77777777" w:rsidR="002400E4" w:rsidRDefault="003D2442">
      <w:pPr>
        <w:pStyle w:val="Compact"/>
        <w:numPr>
          <w:ilvl w:val="0"/>
          <w:numId w:val="3"/>
        </w:numPr>
      </w:pPr>
      <w:r>
        <w:t>Which constituencies are absent from the letter’s signer list, and why does that matter?</w:t>
      </w:r>
    </w:p>
    <w:p w14:paraId="62CCD81F" w14:textId="77777777" w:rsidR="002400E4" w:rsidRDefault="003D2442">
      <w:pPr>
        <w:pStyle w:val="FirstParagraph"/>
      </w:pPr>
      <w:r>
        <w:rPr>
          <w:b/>
          <w:bCs/>
        </w:rPr>
        <w:t>Answers.</w:t>
      </w:r>
    </w:p>
    <w:p w14:paraId="1068C529" w14:textId="77777777" w:rsidR="002400E4" w:rsidRDefault="003D2442">
      <w:pPr>
        <w:pStyle w:val="Compact"/>
        <w:numPr>
          <w:ilvl w:val="0"/>
          <w:numId w:val="4"/>
        </w:numPr>
      </w:pPr>
      <w:r>
        <w:t>Roughly $144 million, reduced from $202.3 million in July 2026, a cut of nearly 30 percent. Bill impact fell from $10 to $11 per month to $7 to $8 per month.</w:t>
      </w:r>
    </w:p>
    <w:p w14:paraId="60F4A4EE" w14:textId="77777777" w:rsidR="002400E4" w:rsidRDefault="003D2442">
      <w:pPr>
        <w:pStyle w:val="Compact"/>
        <w:numPr>
          <w:ilvl w:val="0"/>
          <w:numId w:val="4"/>
        </w:numPr>
      </w:pPr>
      <w:r>
        <w:t>Both received 9.60 percent. Nicor requested 10.35 percent. Ameren requested 10.70 percent.</w:t>
      </w:r>
    </w:p>
    <w:p w14:paraId="18ABF3D6" w14:textId="77777777" w:rsidR="002400E4" w:rsidRDefault="003D2442">
      <w:pPr>
        <w:pStyle w:val="Compact"/>
        <w:numPr>
          <w:ilvl w:val="0"/>
          <w:numId w:val="4"/>
        </w:numPr>
      </w:pPr>
      <w:r>
        <w:t>Approximately 75 percent, from a proposed $333 million to $83 million approved.</w:t>
      </w:r>
    </w:p>
    <w:p w14:paraId="76A424CA" w14:textId="77777777" w:rsidR="002400E4" w:rsidRDefault="003D2442">
      <w:pPr>
        <w:pStyle w:val="Compact"/>
        <w:numPr>
          <w:ilvl w:val="0"/>
          <w:numId w:val="4"/>
        </w:numPr>
      </w:pPr>
      <w:r>
        <w:t>Public Act 98-57 of 2013, codified at Section 9-220.3 of the Public Utilities Act. It allowed recovery of qualifying infrastructure investment through an automatic surcharge rather than a rate case, eliminating regulatory lag.</w:t>
      </w:r>
    </w:p>
    <w:p w14:paraId="5F58A65E" w14:textId="77777777" w:rsidR="002400E4" w:rsidRDefault="003D2442">
      <w:pPr>
        <w:pStyle w:val="Compact"/>
        <w:numPr>
          <w:ilvl w:val="0"/>
          <w:numId w:val="4"/>
        </w:numPr>
      </w:pPr>
      <w:r>
        <w:lastRenderedPageBreak/>
        <w:t>Disallowance of imprudent cost, reduction of authorized ROE, removal of plant from rate base, and direct customer credits.</w:t>
      </w:r>
    </w:p>
    <w:p w14:paraId="6099E771" w14:textId="77777777" w:rsidR="002400E4" w:rsidRDefault="003D2442">
      <w:pPr>
        <w:pStyle w:val="Compact"/>
        <w:numPr>
          <w:ilvl w:val="0"/>
          <w:numId w:val="4"/>
        </w:numPr>
      </w:pPr>
      <w:r>
        <w:t>Overly accelerated and overly focused on replacement.</w:t>
      </w:r>
    </w:p>
    <w:p w14:paraId="5E9CBE09" w14:textId="77777777" w:rsidR="002400E4" w:rsidRDefault="003D2442">
      <w:pPr>
        <w:pStyle w:val="Compact"/>
        <w:numPr>
          <w:ilvl w:val="0"/>
          <w:numId w:val="4"/>
        </w:numPr>
      </w:pPr>
      <w:r>
        <w:t>The $337 million annual profit figure and the claim of more than 400 percent profit growth since program inception.</w:t>
      </w:r>
    </w:p>
    <w:p w14:paraId="0FA0CB72" w14:textId="77777777" w:rsidR="002400E4" w:rsidRDefault="003D2442">
      <w:pPr>
        <w:pStyle w:val="Compact"/>
        <w:numPr>
          <w:ilvl w:val="0"/>
          <w:numId w:val="4"/>
        </w:numPr>
      </w:pPr>
      <w:r>
        <w:t>A Commission-ordered completion deadline of 2035, and an independent Safety Monitor reporting annually beginning 2027. No other Illinois gas utility operates under either.</w:t>
      </w:r>
    </w:p>
    <w:p w14:paraId="3476A9D1" w14:textId="77777777" w:rsidR="002400E4" w:rsidRDefault="003D2442">
      <w:pPr>
        <w:pStyle w:val="Compact"/>
        <w:numPr>
          <w:ilvl w:val="0"/>
          <w:numId w:val="4"/>
        </w:numPr>
      </w:pPr>
      <w:r>
        <w:t>Three percent, described as a nationally recognized measure of affordability.</w:t>
      </w:r>
    </w:p>
    <w:p w14:paraId="50DE9E6C" w14:textId="77777777" w:rsidR="002400E4" w:rsidRDefault="003D2442">
      <w:pPr>
        <w:pStyle w:val="Compact"/>
        <w:numPr>
          <w:ilvl w:val="0"/>
          <w:numId w:val="4"/>
        </w:numPr>
      </w:pPr>
      <w:r>
        <w:t>Building trades, labor coalitions, business and economic development organizations, downstate members, and chamber leadership. Their absence means the coalition is affordability plus climate rather than affordability plus jobs, which leaves reliability and economic development arguments an unoccupied field.</w:t>
      </w:r>
    </w:p>
    <w:p w14:paraId="4D0803C3" w14:textId="77777777" w:rsidR="00881107" w:rsidRDefault="00881107">
      <w:pPr>
        <w:pStyle w:val="BodyText"/>
        <w:rPr>
          <w:kern w:val="2"/>
          <w14:ligatures w14:val="standardContextual"/>
        </w:rPr>
      </w:pPr>
      <w:r>
        <w:rPr>
          <w:b/>
          <w:bCs/>
        </w:rPr>
        <w:t>Plain-language script.</w:t>
      </w:r>
      <w:r>
        <w:t xml:space="preserve"> This section is a quick test of whether the core facts can be explained without relying on the paper. The essential points are the reduced $144 million request, the 9.60 percent recent gas return benchmark, the roughly 75 percent cut to Ameren’s electric grid plan spending, the role Rider QIP played in accelerating recovery, the four regulatory tools used to protect customers, the ICC’s concern that Ameren’s program was overly accelerated and overly focused on replacement, the two advocacy-derived profit claims, the 2035 deadline and independent monitor, the 3 percent affordability standard, and the constituencies absent from the signer coalition.</w:t>
      </w:r>
    </w:p>
    <w:p w14:paraId="45FB0818" w14:textId="77777777" w:rsidR="002400E4" w:rsidRDefault="003D2442">
      <w:r>
        <w:pict w14:anchorId="7F89B1E1">
          <v:rect id="_x0000_i1040" style="width:0;height:1.5pt" o:hralign="center" o:hrstd="t" o:hr="t"/>
        </w:pict>
      </w:r>
    </w:p>
    <w:p w14:paraId="7A0F0376" w14:textId="77777777" w:rsidR="002400E4" w:rsidRDefault="003D2442">
      <w:pPr>
        <w:pStyle w:val="Heading1"/>
      </w:pPr>
      <w:bookmarkStart w:id="60" w:name="section-13.-glossary"/>
      <w:bookmarkStart w:id="61" w:name="_Toc241588828"/>
      <w:bookmarkStart w:id="62" w:name="_Toc241591540"/>
      <w:bookmarkEnd w:id="57"/>
      <w:r>
        <w:t>Section 13. Glossary</w:t>
      </w:r>
      <w:bookmarkEnd w:id="61"/>
      <w:bookmarkEnd w:id="62"/>
    </w:p>
    <w:p w14:paraId="7CE3BFC9" w14:textId="77777777" w:rsidR="002400E4" w:rsidRDefault="003D2442">
      <w:pPr>
        <w:pStyle w:val="FirstParagraph"/>
      </w:pPr>
      <w:r>
        <w:rPr>
          <w:b/>
          <w:bCs/>
        </w:rPr>
        <w:t>Rate base.</w:t>
      </w:r>
      <w:r>
        <w:t xml:space="preserve"> </w:t>
      </w:r>
      <w:r>
        <w:t xml:space="preserve">Net original cost of utility plant </w:t>
      </w:r>
      <w:proofErr w:type="gramStart"/>
      <w:r>
        <w:t>in</w:t>
      </w:r>
      <w:proofErr w:type="gramEnd"/>
      <w:r>
        <w:t xml:space="preserve"> service plus working capital, less accumulated depreciation and accumulated deferred income taxes. The </w:t>
      </w:r>
      <w:proofErr w:type="gramStart"/>
      <w:r>
        <w:t>asset base</w:t>
      </w:r>
      <w:proofErr w:type="gramEnd"/>
      <w:r>
        <w:t xml:space="preserve"> on which a utility earns a return.</w:t>
      </w:r>
    </w:p>
    <w:p w14:paraId="0F533AD6" w14:textId="77777777" w:rsidR="002400E4" w:rsidRDefault="003D2442">
      <w:pPr>
        <w:pStyle w:val="BodyText"/>
      </w:pPr>
      <w:r>
        <w:rPr>
          <w:b/>
          <w:bCs/>
        </w:rPr>
        <w:t>Return on equity, ROE.</w:t>
      </w:r>
      <w:r>
        <w:t xml:space="preserve"> The authorized percentage return applied to the equity portion of the capital structure. The primary driver of shareholder earnings and the most contested number in any rate case.</w:t>
      </w:r>
    </w:p>
    <w:p w14:paraId="49010DD2" w14:textId="77777777" w:rsidR="002400E4" w:rsidRDefault="003D2442">
      <w:pPr>
        <w:pStyle w:val="BodyText"/>
      </w:pPr>
      <w:r>
        <w:rPr>
          <w:b/>
          <w:bCs/>
        </w:rPr>
        <w:t>Equity ratio.</w:t>
      </w:r>
      <w:r>
        <w:t xml:space="preserve"> </w:t>
      </w:r>
      <w:r>
        <w:t xml:space="preserve">The share of the capital structure </w:t>
      </w:r>
      <w:proofErr w:type="gramStart"/>
      <w:r>
        <w:t>funded</w:t>
      </w:r>
      <w:proofErr w:type="gramEnd"/>
      <w:r>
        <w:t xml:space="preserve"> by equity rather than debt. Nicor’s approved ratio in November 2025 was 50.00 percent.</w:t>
      </w:r>
    </w:p>
    <w:p w14:paraId="75A55510" w14:textId="77777777" w:rsidR="002400E4" w:rsidRDefault="003D2442">
      <w:pPr>
        <w:pStyle w:val="BodyText"/>
      </w:pPr>
      <w:r>
        <w:rPr>
          <w:b/>
          <w:bCs/>
        </w:rPr>
        <w:t>Revenue requirement.</w:t>
      </w:r>
      <w:r>
        <w:t xml:space="preserve"> The total annual revenue a utility must collect to cover operating expenses, depreciation, taxes, and a return on rate base.</w:t>
      </w:r>
    </w:p>
    <w:p w14:paraId="07C80AE3" w14:textId="77777777" w:rsidR="002400E4" w:rsidRDefault="003D2442">
      <w:pPr>
        <w:pStyle w:val="BodyText"/>
      </w:pPr>
      <w:r>
        <w:rPr>
          <w:b/>
          <w:bCs/>
        </w:rPr>
        <w:t>Regulatory lag.</w:t>
      </w:r>
      <w:r>
        <w:t xml:space="preserve"> The delay between when a utility spends capital and when it begins recovering that capital in rates. Functions as natural spending discipline. Rider QIP removed it.</w:t>
      </w:r>
    </w:p>
    <w:p w14:paraId="1FF008FF" w14:textId="77777777" w:rsidR="002400E4" w:rsidRDefault="003D2442">
      <w:pPr>
        <w:pStyle w:val="BodyText"/>
      </w:pPr>
      <w:r>
        <w:rPr>
          <w:b/>
          <w:bCs/>
        </w:rPr>
        <w:lastRenderedPageBreak/>
        <w:t>Rider QIP, Qualifying Infrastructure Plant surcharge.</w:t>
      </w:r>
      <w:r>
        <w:t xml:space="preserve"> </w:t>
      </w:r>
      <w:r>
        <w:t>Created by Public Act 98-57 in 2013 under Section 9-220.3. Allowed gas utilities to recover qualifying infrastructure investment through an automatic surcharge. Sunset at the end of 2023. Nicor’s equivalent tariff is Rider 32.</w:t>
      </w:r>
    </w:p>
    <w:p w14:paraId="175F664F" w14:textId="77777777" w:rsidR="002400E4" w:rsidRDefault="003D2442">
      <w:pPr>
        <w:pStyle w:val="BodyText"/>
      </w:pPr>
      <w:r>
        <w:rPr>
          <w:b/>
          <w:bCs/>
        </w:rPr>
        <w:t>CI/DI.</w:t>
      </w:r>
      <w:r>
        <w:t xml:space="preserve"> Cast iron and ductile iron pipe. The specific asset </w:t>
      </w:r>
      <w:proofErr w:type="gramStart"/>
      <w:r>
        <w:t>class</w:t>
      </w:r>
      <w:proofErr w:type="gramEnd"/>
      <w:r>
        <w:t xml:space="preserve"> the February 2025 ICC order directed Peoples Gas to retire by 2035.</w:t>
      </w:r>
    </w:p>
    <w:p w14:paraId="63D5775E" w14:textId="77777777" w:rsidR="002400E4" w:rsidRDefault="003D2442">
      <w:pPr>
        <w:pStyle w:val="BodyText"/>
      </w:pPr>
      <w:r>
        <w:rPr>
          <w:b/>
          <w:bCs/>
        </w:rPr>
        <w:t>PHMSA.</w:t>
      </w:r>
      <w:r>
        <w:t xml:space="preserve"> </w:t>
      </w:r>
      <w:r>
        <w:t>The federal Pipeline and Hazardous Materials Safety Administration, whose 2011 Call to Action following San Bruno drove national distribution integrity programs.</w:t>
      </w:r>
    </w:p>
    <w:p w14:paraId="6BA03617" w14:textId="77777777" w:rsidR="002400E4" w:rsidRDefault="003D2442">
      <w:pPr>
        <w:pStyle w:val="BodyText"/>
      </w:pPr>
      <w:r>
        <w:rPr>
          <w:b/>
          <w:bCs/>
        </w:rPr>
        <w:t>Prudence standard.</w:t>
      </w:r>
      <w:r>
        <w:t xml:space="preserve"> The legal test under the Public Utilities Act. Costs are recoverable only if the utility demonstrates they were reasonable and prudently incurred. The burden of proof rests on the utility.</w:t>
      </w:r>
    </w:p>
    <w:p w14:paraId="0F9EAC11" w14:textId="77777777" w:rsidR="002400E4" w:rsidRDefault="003D2442">
      <w:pPr>
        <w:pStyle w:val="BodyText"/>
      </w:pPr>
      <w:r>
        <w:rPr>
          <w:b/>
          <w:bCs/>
        </w:rPr>
        <w:t>Disallowance.</w:t>
      </w:r>
      <w:r>
        <w:t xml:space="preserve"> </w:t>
      </w:r>
      <w:r>
        <w:t xml:space="preserve">A Commission determination that specific costs may not be recovered </w:t>
      </w:r>
      <w:proofErr w:type="gramStart"/>
      <w:r>
        <w:t>from</w:t>
      </w:r>
      <w:proofErr w:type="gramEnd"/>
      <w:r>
        <w:t xml:space="preserve"> customers. Frequently produces an earnings charge at the parent company level.</w:t>
      </w:r>
    </w:p>
    <w:p w14:paraId="53555CD7" w14:textId="77777777" w:rsidR="002400E4" w:rsidRDefault="003D2442">
      <w:pPr>
        <w:pStyle w:val="BodyText"/>
      </w:pPr>
      <w:r>
        <w:rPr>
          <w:b/>
          <w:bCs/>
        </w:rPr>
        <w:t>Multi-year integrated grid plan, MYIGP.</w:t>
      </w:r>
      <w:r>
        <w:t xml:space="preserve"> The CEJA-required electric distribution plan that utilities file with the Commission, consolidated with a multi-year rate plan and subject to performance-based reconciliation.</w:t>
      </w:r>
    </w:p>
    <w:p w14:paraId="70E36583" w14:textId="77777777" w:rsidR="002400E4" w:rsidRDefault="003D2442">
      <w:pPr>
        <w:pStyle w:val="BodyText"/>
      </w:pPr>
      <w:r>
        <w:rPr>
          <w:b/>
          <w:bCs/>
        </w:rPr>
        <w:t>Non-pipeline alternative, NPA.</w:t>
      </w:r>
      <w:r>
        <w:t xml:space="preserve"> </w:t>
      </w:r>
      <w:r>
        <w:t>Any measure that defers or avoids gas infrastructure investment, including targeted efficiency, electrification, thermal networks, or enhanced monitoring in place of replacement.</w:t>
      </w:r>
    </w:p>
    <w:p w14:paraId="2D85F991" w14:textId="77777777" w:rsidR="002400E4" w:rsidRDefault="003D2442">
      <w:pPr>
        <w:pStyle w:val="BodyText"/>
      </w:pPr>
      <w:proofErr w:type="gramStart"/>
      <w:r>
        <w:rPr>
          <w:b/>
          <w:bCs/>
        </w:rPr>
        <w:t>Low income</w:t>
      </w:r>
      <w:proofErr w:type="gramEnd"/>
      <w:r>
        <w:rPr>
          <w:b/>
          <w:bCs/>
        </w:rPr>
        <w:t xml:space="preserve"> discount, LID.</w:t>
      </w:r>
      <w:r>
        <w:t xml:space="preserve"> Tariffed bill reduction for qualifying customers. Peoples Gas offers up to 83 percent. The Commission adopted a 3 percent energy burden target for Nicor and Ameren in November 2025.</w:t>
      </w:r>
    </w:p>
    <w:p w14:paraId="4924ACFE" w14:textId="77777777" w:rsidR="002400E4" w:rsidRDefault="003D2442">
      <w:pPr>
        <w:pStyle w:val="BodyText"/>
      </w:pPr>
      <w:r>
        <w:rPr>
          <w:b/>
          <w:bCs/>
        </w:rPr>
        <w:t>Energy burden.</w:t>
      </w:r>
      <w:r>
        <w:t xml:space="preserve"> </w:t>
      </w:r>
      <w:r>
        <w:t xml:space="preserve">Household energy </w:t>
      </w:r>
      <w:proofErr w:type="gramStart"/>
      <w:r>
        <w:t>cost</w:t>
      </w:r>
      <w:proofErr w:type="gramEnd"/>
      <w:r>
        <w:t xml:space="preserve"> as a percentage of household income. Three percent is the nationally recognized affordability threshold the Commission adopted.</w:t>
      </w:r>
    </w:p>
    <w:p w14:paraId="65D1D907" w14:textId="77777777" w:rsidR="00881107" w:rsidRDefault="00881107">
      <w:pPr>
        <w:pStyle w:val="BodyText"/>
        <w:rPr>
          <w:kern w:val="2"/>
          <w14:ligatures w14:val="standardContextual"/>
        </w:rPr>
      </w:pPr>
      <w:r>
        <w:rPr>
          <w:b/>
          <w:bCs/>
        </w:rPr>
        <w:t>Plain-language script.</w:t>
      </w:r>
      <w:r>
        <w:t xml:space="preserve"> The glossary provides the vocabulary behind the policy debate. Rate base is the pool of approved assets on which a utility can earn a return. ROE is the authorized return on the equity share of that investment. Regulatory lag is the normal delay between spending and recovery, which Rider QIP reduced. </w:t>
      </w:r>
      <w:proofErr w:type="gramStart"/>
      <w:r>
        <w:t>A disallowance</w:t>
      </w:r>
      <w:proofErr w:type="gramEnd"/>
      <w:r>
        <w:t xml:space="preserve"> keeps identified costs out of customer rates. The MYIGP is Ameren Illinois’s multi-year electric distribution plan. Non-pipeline alternatives are measures that can defer or avoid gas infrastructure. Energy burden measures household energy costs as a share of income, with 3 percent now serving as an important Illinois affordability reference point.</w:t>
      </w:r>
    </w:p>
    <w:p w14:paraId="049F31CB" w14:textId="77777777" w:rsidR="002400E4" w:rsidRDefault="003D2442">
      <w:r>
        <w:pict w14:anchorId="34D3BF78">
          <v:rect id="_x0000_i1041" style="width:0;height:1.5pt" o:hralign="center" o:hrstd="t" o:hr="t"/>
        </w:pict>
      </w:r>
    </w:p>
    <w:p w14:paraId="74494656" w14:textId="77777777" w:rsidR="002400E4" w:rsidRDefault="003D2442">
      <w:pPr>
        <w:pStyle w:val="Heading1"/>
      </w:pPr>
      <w:bookmarkStart w:id="63" w:name="section-14.-spaced-review-schedule"/>
      <w:bookmarkStart w:id="64" w:name="_Toc241588829"/>
      <w:bookmarkStart w:id="65" w:name="_Toc241591541"/>
      <w:bookmarkEnd w:id="60"/>
      <w:r>
        <w:lastRenderedPageBreak/>
        <w:t>Section 14. Spaced Review Schedule</w:t>
      </w:r>
      <w:bookmarkEnd w:id="64"/>
      <w:bookmarkEnd w:id="65"/>
    </w:p>
    <w:p w14:paraId="333ADF73" w14:textId="77777777" w:rsidR="002400E4" w:rsidRDefault="003D2442">
      <w:pPr>
        <w:pStyle w:val="FirstParagraph"/>
      </w:pPr>
      <w:r>
        <w:t>Retention on material this dense drops sharply without deliberate review. Use this schedule.</w:t>
      </w:r>
    </w:p>
    <w:p w14:paraId="1376539D" w14:textId="77777777" w:rsidR="002400E4" w:rsidRDefault="003D2442">
      <w:pPr>
        <w:pStyle w:val="BodyText"/>
      </w:pPr>
      <w:r>
        <w:rPr>
          <w:b/>
          <w:bCs/>
        </w:rPr>
        <w:t>Day 1.</w:t>
      </w:r>
      <w:r>
        <w:t xml:space="preserve"> Read the full document. Work the self-check questions in Section 12.</w:t>
      </w:r>
    </w:p>
    <w:p w14:paraId="346E090C" w14:textId="77777777" w:rsidR="002400E4" w:rsidRDefault="003D2442">
      <w:pPr>
        <w:pStyle w:val="BodyText"/>
      </w:pPr>
      <w:r>
        <w:rPr>
          <w:b/>
          <w:bCs/>
        </w:rPr>
        <w:t>Day 3.</w:t>
      </w:r>
      <w:r>
        <w:t xml:space="preserve"> Re-read only the concept map and the three-number summary in Section 1.6. Attempt questions 1 through 5 from memory.</w:t>
      </w:r>
    </w:p>
    <w:p w14:paraId="5D484682" w14:textId="77777777" w:rsidR="002400E4" w:rsidRDefault="003D2442">
      <w:pPr>
        <w:pStyle w:val="BodyText"/>
      </w:pPr>
      <w:r>
        <w:rPr>
          <w:b/>
          <w:bCs/>
        </w:rPr>
        <w:t>Day 10.</w:t>
      </w:r>
      <w:r>
        <w:t xml:space="preserve"> </w:t>
      </w:r>
      <w:r>
        <w:t>Re-read the benchmark tables in Section 1. Attempt questions 6 through 10 from memory.</w:t>
      </w:r>
    </w:p>
    <w:p w14:paraId="013928FA" w14:textId="77777777" w:rsidR="002400E4" w:rsidRDefault="003D2442">
      <w:pPr>
        <w:pStyle w:val="BodyText"/>
      </w:pPr>
      <w:r>
        <w:rPr>
          <w:b/>
          <w:bCs/>
        </w:rPr>
        <w:t>Day 30.</w:t>
      </w:r>
      <w:r>
        <w:t xml:space="preserve"> Re-read Section 10, the forecast, and check it against events. Update your priors where the record has moved.</w:t>
      </w:r>
    </w:p>
    <w:p w14:paraId="0B7CDA24" w14:textId="77777777" w:rsidR="002400E4" w:rsidRDefault="003D2442">
      <w:pPr>
        <w:pStyle w:val="BodyText"/>
      </w:pPr>
      <w:r>
        <w:rPr>
          <w:b/>
          <w:bCs/>
        </w:rPr>
        <w:t>Trigger-based review.</w:t>
      </w:r>
      <w:r>
        <w:t xml:space="preserve"> Re-read Section 1 immediately upon: the final order in Docket 26-0065, the Future of Gas final report in December 2026, any ICC order in the 2026 Nicor case, and the first substantive ALJ ruling in our own MYIGP.</w:t>
      </w:r>
    </w:p>
    <w:p w14:paraId="62576215" w14:textId="77777777" w:rsidR="00881107" w:rsidRDefault="00881107">
      <w:pPr>
        <w:pStyle w:val="BodyText"/>
        <w:rPr>
          <w:kern w:val="2"/>
          <w14:ligatures w14:val="standardContextual"/>
        </w:rPr>
      </w:pPr>
      <w:r>
        <w:rPr>
          <w:b/>
          <w:bCs/>
        </w:rPr>
        <w:t>Plain-language script.</w:t>
      </w:r>
      <w:r>
        <w:t xml:space="preserve"> This section is a practical reminder that the document should be updated as events change. Review the full analysis now, revisit the concept map and core numbers within a few days, return to the benchmark tables within two weeks, and reassess the forecast after a month. More importantly, reopen the paper whenever the ICC issues the final order in Docket 26-0065, publishes the Future of Gas report, rules in Nicor’s pending case, or makes a substantive ruling in Ameren Illinois’s MYIGP. The goal is to keep the facts, assumptions, and government relations posture current.</w:t>
      </w:r>
    </w:p>
    <w:p w14:paraId="53128261" w14:textId="77777777" w:rsidR="002400E4" w:rsidRDefault="003D2442">
      <w:r>
        <w:pict w14:anchorId="220BFAA4">
          <v:rect id="_x0000_i1042" style="width:0;height:1.5pt" o:hralign="center" o:hrstd="t" o:hr="t"/>
        </w:pict>
      </w:r>
    </w:p>
    <w:p w14:paraId="5703845E" w14:textId="77777777" w:rsidR="002400E4" w:rsidRDefault="003D2442">
      <w:pPr>
        <w:pStyle w:val="Heading1"/>
      </w:pPr>
      <w:bookmarkStart w:id="66" w:name="section-15.-closing-perspective"/>
      <w:bookmarkStart w:id="67" w:name="_Toc241588830"/>
      <w:bookmarkStart w:id="68" w:name="_Toc241591542"/>
      <w:bookmarkEnd w:id="63"/>
      <w:r>
        <w:t>Section 15. Closing Perspective</w:t>
      </w:r>
      <w:bookmarkEnd w:id="67"/>
      <w:bookmarkEnd w:id="68"/>
    </w:p>
    <w:p w14:paraId="13421B26" w14:textId="77777777" w:rsidR="002400E4" w:rsidRDefault="008041C7">
      <w:pPr>
        <w:pStyle w:val="FirstParagraph"/>
      </w:pPr>
      <w:r w:rsidRPr="008041C7">
        <w:t xml:space="preserve">The </w:t>
      </w:r>
      <w:r w:rsidR="003D2442">
        <w:t xml:space="preserve">Peoples Gas </w:t>
      </w:r>
      <w:r w:rsidRPr="008041C7">
        <w:t xml:space="preserve">record </w:t>
      </w:r>
      <w:r w:rsidR="003D2442">
        <w:t xml:space="preserve">is not </w:t>
      </w:r>
      <w:r w:rsidRPr="008041C7">
        <w:t>only</w:t>
      </w:r>
      <w:r w:rsidR="003D2442">
        <w:t xml:space="preserve"> a story about </w:t>
      </w:r>
      <w:r w:rsidRPr="008041C7">
        <w:t xml:space="preserve">aging </w:t>
      </w:r>
      <w:r w:rsidR="003D2442">
        <w:t xml:space="preserve">pipe. </w:t>
      </w:r>
      <w:r w:rsidRPr="008041C7">
        <w:t xml:space="preserve">It shows what can happen when a capital recovery mechanism moves faster than the governance, planning, and affordability </w:t>
      </w:r>
      <w:proofErr w:type="gramStart"/>
      <w:r w:rsidRPr="008041C7">
        <w:t>controls</w:t>
      </w:r>
      <w:proofErr w:type="gramEnd"/>
      <w:r w:rsidRPr="008041C7">
        <w:t xml:space="preserve"> surrounding it.</w:t>
      </w:r>
    </w:p>
    <w:p w14:paraId="30CC7C19" w14:textId="77777777" w:rsidR="002400E4" w:rsidRDefault="003D2442">
      <w:pPr>
        <w:pStyle w:val="BodyText"/>
      </w:pPr>
      <w:r>
        <w:t>The engineering case for retiring nineteenth century cast iron under a dense city was and remains sound. What failed was the discipline around how fast, at what cost, in what order, and with what proof of benefit.</w:t>
      </w:r>
    </w:p>
    <w:p w14:paraId="07731CF8" w14:textId="77777777" w:rsidR="002400E4" w:rsidRDefault="003D2442">
      <w:pPr>
        <w:pStyle w:val="BodyText"/>
      </w:pPr>
      <w:r>
        <w:t xml:space="preserve">The benchmark </w:t>
      </w:r>
      <w:r w:rsidR="001F6CC6" w:rsidRPr="001F6CC6">
        <w:t>record supports</w:t>
      </w:r>
      <w:r>
        <w:t xml:space="preserve"> a </w:t>
      </w:r>
      <w:r w:rsidR="001F6CC6" w:rsidRPr="001F6CC6">
        <w:t>broader conclusion.</w:t>
      </w:r>
      <w:r>
        <w:t xml:space="preserve"> Across </w:t>
      </w:r>
      <w:r w:rsidR="001F6CC6" w:rsidRPr="001F6CC6">
        <w:t>multiple Illinois utility</w:t>
      </w:r>
      <w:r>
        <w:t xml:space="preserve"> proceedings, the Commission has </w:t>
      </w:r>
      <w:r w:rsidR="001F6CC6" w:rsidRPr="001F6CC6">
        <w:t xml:space="preserve">repeatedly asked for evidence of </w:t>
      </w:r>
      <w:r>
        <w:t xml:space="preserve">need, </w:t>
      </w:r>
      <w:r>
        <w:t xml:space="preserve">timing, </w:t>
      </w:r>
      <w:r w:rsidR="001F6CC6" w:rsidRPr="001F6CC6">
        <w:t>pace,</w:t>
      </w:r>
      <w:r>
        <w:t xml:space="preserve"> alternatives, </w:t>
      </w:r>
      <w:r w:rsidR="001F6CC6" w:rsidRPr="001F6CC6">
        <w:t xml:space="preserve">and </w:t>
      </w:r>
      <w:r>
        <w:t xml:space="preserve">customer impact. </w:t>
      </w:r>
      <w:r w:rsidR="001F6CC6" w:rsidRPr="001F6CC6">
        <w:t>Utilities that address those questions in the initial filing are better positioned than those that respond only after the record exposes a gap.</w:t>
      </w:r>
    </w:p>
    <w:p w14:paraId="08C677BD" w14:textId="77777777" w:rsidR="002400E4" w:rsidRDefault="00881107">
      <w:pPr>
        <w:pStyle w:val="BodyText"/>
      </w:pPr>
      <w:r w:rsidRPr="00881107">
        <w:t xml:space="preserve">For the MYIGP and future return requests, Ameren Illinois should not rely on being different from Peoples Gas. The stronger posture is to demonstrate, project by project, that the </w:t>
      </w:r>
      <w:r w:rsidRPr="00881107">
        <w:lastRenderedPageBreak/>
        <w:t>company has already incorporated the standards the Commission is applying: a documented need, a defensible schedule, consideration of reasonable alternatives, measurable customer benefits, and a clear affordability analysis. Government relations should reinforce that record with consistent messages on reliability, economic development, and cost discipline and should adjust its strategy as the identified regulatory and legislative indicators develop.</w:t>
      </w:r>
    </w:p>
    <w:p w14:paraId="78D10A73" w14:textId="77777777" w:rsidR="00881107" w:rsidRDefault="00881107">
      <w:pPr>
        <w:pStyle w:val="BodyText"/>
        <w:rPr>
          <w:kern w:val="2"/>
          <w14:ligatures w14:val="standardContextual"/>
        </w:rPr>
      </w:pPr>
      <w:r>
        <w:rPr>
          <w:b/>
          <w:bCs/>
        </w:rPr>
        <w:t>Plain-language script.</w:t>
      </w:r>
      <w:r>
        <w:t xml:space="preserve"> The ultimate lesson is not that infrastructure investment is unnecessary. The aging-pipe safety problem was real and remains real. The failure was allowing spending and recovery to move faster than planning, oversight, affordability controls, and proof of results. For Ameren Illinois, the strongest response is not simply to say that we are different from Peoples Gas. It is to show, for every major project, the need, schedule, alternatives, customer benefit, and bill impact. Government relations can then support that record with a consistent explanation of reliability, economic development, affordability, and cost discipline.</w:t>
      </w:r>
    </w:p>
    <w:p w14:paraId="62486C05" w14:textId="77777777" w:rsidR="002400E4" w:rsidRDefault="003D2442">
      <w:r>
        <w:pict w14:anchorId="6BB53F28">
          <v:rect id="_x0000_i1043" style="width:0;height:1.5pt" o:hralign="center" o:hrstd="t" o:hr="t"/>
        </w:pict>
      </w:r>
    </w:p>
    <w:p w14:paraId="7ABCBCCC" w14:textId="77777777" w:rsidR="002400E4" w:rsidRDefault="003D2442">
      <w:pPr>
        <w:pStyle w:val="Heading1"/>
      </w:pPr>
      <w:bookmarkStart w:id="69" w:name="sources"/>
      <w:bookmarkStart w:id="70" w:name="_Toc241588831"/>
      <w:bookmarkStart w:id="71" w:name="_Toc241591543"/>
      <w:bookmarkEnd w:id="66"/>
      <w:r>
        <w:t>Sources</w:t>
      </w:r>
      <w:bookmarkEnd w:id="70"/>
      <w:bookmarkEnd w:id="71"/>
    </w:p>
    <w:p w14:paraId="026ACF5F" w14:textId="77777777" w:rsidR="002400E4" w:rsidRDefault="003D2442">
      <w:pPr>
        <w:pStyle w:val="FirstParagraph"/>
      </w:pPr>
      <w:r>
        <w:t xml:space="preserve">Illinois Commerce Commission press releases of February 20, 2025 (Peoples Gas SMP order), December 20, 2024 (Ameren and ComEd grid plans), November 19, 2025 (Nicor and Ameren Illinois gas rate orders), December 18, 2025 (Ameren rate reconciliation), and August 19, 2025 (Ameren public hearings). ICC orders in Dockets 25-0055, 20-0330, 24-0081, 15-0209, 16-0376, 23-0067, and 25-0382, and filings in Docket 26-0065 and 21-0259. Southern Company Gas Forms 8-K of June 15, </w:t>
      </w:r>
      <w:proofErr w:type="gramStart"/>
      <w:r>
        <w:t>2023</w:t>
      </w:r>
      <w:proofErr w:type="gramEnd"/>
      <w:r>
        <w:t xml:space="preserve"> and November 19, 2025. Nicor Gas 2026 Rate Request At-A-Glance and Rider 32 tariff. Ameren Illinois Rider QIP informational filing of November 14, </w:t>
      </w:r>
      <w:proofErr w:type="gramStart"/>
      <w:r>
        <w:t>2025</w:t>
      </w:r>
      <w:proofErr w:type="gramEnd"/>
      <w:r>
        <w:t xml:space="preserve"> and Integrated Grid Plan materials. Northern Illinois Gas Co. v. Illinois Commerce Commission, 2024 IL App (3d) 230388-U. Ameren Illinois Co. v. Illinois Commerce Commission, 2025 IL App (5th) 240014. Illinois Attorney General and Citizens Utility Board settlement materials and commentary. Environmental Defense Fund and Illinois PIRG statements. Capitol</w:t>
      </w:r>
      <w:r>
        <w:t xml:space="preserve"> News Illinois, Chicago Sun-Times, CBS Chicago, and BOMA Chicago reporting.</w:t>
      </w:r>
    </w:p>
    <w:bookmarkEnd w:id="69"/>
    <w:p w14:paraId="346D925F" w14:textId="77777777" w:rsidR="00344D60" w:rsidRDefault="00344D60">
      <w:pPr>
        <w:pStyle w:val="BodyText"/>
        <w:rPr>
          <w:kern w:val="2"/>
          <w14:ligatures w14:val="standardContextual"/>
        </w:rPr>
      </w:pPr>
      <w:r>
        <w:rPr>
          <w:b/>
          <w:bCs/>
        </w:rPr>
        <w:t>Plain-language script.</w:t>
      </w:r>
      <w:r>
        <w:t xml:space="preserve"> The report draws from ICC orders and press releases, utility filings and investor disclosures, court decisions, Attorney General and consumer advocate materials, and established news coverage. The most consequential numbers should be checked against the underlying order or filing before external use. Advocacy calculations, including the profit estimates noted in the letter, should remain clearly attributed. The source record should also be refreshed when Docket 26-0065 is decided, the Future of Gas report is issued, or a material ruling changes the assumptions used in this paper.</w:t>
      </w:r>
    </w:p>
    <w:p w14:paraId="6BBF7B3D" w14:textId="77777777" w:rsidR="00344D60" w:rsidRDefault="00344D60"/>
    <w:sectPr w:rsidR="00344D6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040A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892018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0217180">
    <w:abstractNumId w:val="0"/>
  </w:num>
  <w:num w:numId="2" w16cid:durableId="10623638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2674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581221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0AC9582"/>
    <w:rsid w:val="00122488"/>
    <w:rsid w:val="001641E5"/>
    <w:rsid w:val="001C5DB5"/>
    <w:rsid w:val="001F6CC6"/>
    <w:rsid w:val="002400E4"/>
    <w:rsid w:val="0024019F"/>
    <w:rsid w:val="00266CD9"/>
    <w:rsid w:val="00323761"/>
    <w:rsid w:val="00334D31"/>
    <w:rsid w:val="00344D60"/>
    <w:rsid w:val="003A34C9"/>
    <w:rsid w:val="003C22B1"/>
    <w:rsid w:val="00531D26"/>
    <w:rsid w:val="00593BEA"/>
    <w:rsid w:val="00730DA9"/>
    <w:rsid w:val="008041C7"/>
    <w:rsid w:val="00881107"/>
    <w:rsid w:val="00897538"/>
    <w:rsid w:val="00946AA8"/>
    <w:rsid w:val="00A81249"/>
    <w:rsid w:val="00B3636D"/>
    <w:rsid w:val="00B81FC2"/>
    <w:rsid w:val="00ED05E0"/>
    <w:rsid w:val="00F04650"/>
    <w:rsid w:val="60AC9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EDB4B"/>
  <w15:docId w15:val="{E68F615B-3B7C-48FC-B02A-40D1FFFE3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Body Text"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D05E0"/>
    <w:pPr>
      <w:spacing w:after="100"/>
    </w:pPr>
  </w:style>
  <w:style w:type="character" w:customStyle="1" w:styleId="BodyTextChar">
    <w:name w:val="Body Text Char"/>
    <w:basedOn w:val="DefaultParagraphFont"/>
    <w:link w:val="BodyText"/>
    <w:uiPriority w:val="99"/>
    <w:rsid w:val="00266CD9"/>
  </w:style>
  <w:style w:type="paragraph" w:styleId="TOC2">
    <w:name w:val="toc 2"/>
    <w:basedOn w:val="Normal"/>
    <w:next w:val="Normal"/>
    <w:autoRedefine/>
    <w:uiPriority w:val="39"/>
    <w:rsid w:val="00334D3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AB0FF-94A5-4DDF-BBC0-90E28576A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25</Pages>
  <Words>9361</Words>
  <Characters>52053</Characters>
  <Application>Microsoft Office Word</Application>
  <DocSecurity>0</DocSecurity>
  <Lines>1530</Lines>
  <Paragraphs>705</Paragraphs>
  <ScaleCrop>false</ScaleCrop>
  <HeadingPairs>
    <vt:vector size="2" baseType="variant">
      <vt:variant>
        <vt:lpstr>Title</vt:lpstr>
      </vt:variant>
      <vt:variant>
        <vt:i4>1</vt:i4>
      </vt:variant>
    </vt:vector>
  </HeadingPairs>
  <TitlesOfParts>
    <vt:vector size="1" baseType="lpstr">
      <vt:lpstr>Peoples Gas, the Pipe Retirement Program, and ICC Docket 26-0065</vt:lpstr>
    </vt:vector>
  </TitlesOfParts>
  <Company/>
  <LinksUpToDate>false</LinksUpToDate>
  <CharactersWithSpaces>60709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Peoples Gas, the Pipe Retirement Program, and ICC Docket 26-0065</dc:title>
  <dc:creator>Coats, Broderick T</dc:creator>
  <cp:keywords/>
  <cp:lastModifiedBy>Coats, Broderick T</cp:lastModifiedBy>
  <cp:revision>2</cp:revision>
  <dcterms:created xsi:type="dcterms:W3CDTF">2026-09-29T21:25:00Z</dcterms:created>
  <dcterms:modified xsi:type="dcterms:W3CDTF">2026-09-29T21:25:00Z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29, 2026</vt:lpwstr>
  </property>
  <property fmtid="{D5CDD505-2E9C-101B-9397-08002B2CF9AE}" pid="3" name="subtitle">
    <vt:lpwstr>A Benchmarked Knowledge Paper on Illinois Utility Capital Recovery, Affordability, and Regulatory Precedent</vt:lpwstr>
  </property>
</Properties>
</file>