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52EB7" w14:textId="77777777" w:rsidR="00E23FC0" w:rsidRDefault="00E23FC0">
      <w:pPr>
        <w:jc w:val="center"/>
        <w:rPr>
          <w:kern w:val="2"/>
          <w:szCs w:val="19"/>
          <w14:ligatures w14:val="standardContextual"/>
        </w:rPr>
      </w:pPr>
      <w:r>
        <w:rPr>
          <w:rFonts w:ascii="Aptos Display" w:hAnsi="Aptos Display"/>
          <w:b/>
          <w:bCs/>
          <w:color w:val="1B4B45"/>
          <w:sz w:val="58"/>
          <w:szCs w:val="58"/>
        </w:rPr>
        <w:t>ILLINOIS LEGISLATIVE</w:t>
      </w:r>
      <w:r>
        <w:rPr>
          <w:rFonts w:ascii="Aptos Display" w:hAnsi="Aptos Display"/>
          <w:b/>
          <w:bCs/>
          <w:color w:val="1B4B45"/>
          <w:sz w:val="58"/>
          <w:szCs w:val="58"/>
        </w:rPr>
        <w:br/>
        <w:t>TREND REPORT</w:t>
      </w:r>
    </w:p>
    <w:p w14:paraId="5C54B20D" w14:textId="77777777" w:rsidR="00E23FC0" w:rsidRDefault="00E23FC0">
      <w:pPr>
        <w:jc w:val="center"/>
        <w:rPr>
          <w:kern w:val="2"/>
          <w:szCs w:val="19"/>
          <w14:ligatures w14:val="standardContextual"/>
        </w:rPr>
      </w:pPr>
      <w:r>
        <w:rPr>
          <w:color w:val="2F8577"/>
          <w:sz w:val="28"/>
          <w:szCs w:val="28"/>
        </w:rPr>
        <w:t>2020-2026 | Executive Briefing and Political R&amp;D Baseline</w:t>
      </w:r>
    </w:p>
    <w:p w14:paraId="672A6659" w14:textId="77777777" w:rsidR="003C0548" w:rsidRDefault="006F72DF">
      <w:r>
        <w:br/>
      </w:r>
    </w:p>
    <w:tbl>
      <w:tblPr>
        <w:tblW w:w="0" w:type="auto"/>
        <w:tblCellMar>
          <w:left w:w="0" w:type="dxa"/>
          <w:right w:w="0" w:type="dxa"/>
        </w:tblCellMar>
        <w:tblLook w:val="04A0" w:firstRow="1" w:lastRow="0" w:firstColumn="1" w:lastColumn="0" w:noHBand="0" w:noVBand="1"/>
      </w:tblPr>
      <w:tblGrid>
        <w:gridCol w:w="10136"/>
      </w:tblGrid>
      <w:tr w:rsidR="00E23FC0" w14:paraId="12774839" w14:textId="77777777">
        <w:tc>
          <w:tcPr>
            <w:tcW w:w="10166" w:type="dxa"/>
            <w:tcBorders>
              <w:left w:val="single" w:sz="24" w:space="0" w:color="2F8577"/>
            </w:tcBorders>
            <w:shd w:val="clear" w:color="auto" w:fill="EAF6F3"/>
            <w:tcMar>
              <w:top w:w="0" w:type="dxa"/>
              <w:left w:w="160" w:type="dxa"/>
              <w:bottom w:w="0" w:type="dxa"/>
              <w:right w:w="108" w:type="dxa"/>
            </w:tcMar>
            <w:hideMark/>
          </w:tcPr>
          <w:p w14:paraId="39873133" w14:textId="77777777" w:rsidR="00E23FC0" w:rsidRDefault="00E23FC0">
            <w:pPr>
              <w:rPr>
                <w:kern w:val="2"/>
                <w:szCs w:val="19"/>
                <w14:ligatures w14:val="standardContextual"/>
              </w:rPr>
            </w:pPr>
            <w:r>
              <w:rPr>
                <w:b/>
                <w:bCs/>
                <w:color w:val="1B4B45"/>
                <w:sz w:val="22"/>
              </w:rPr>
              <w:t>Executive thesis</w:t>
            </w:r>
            <w:r>
              <w:rPr>
                <w:b/>
                <w:bCs/>
                <w:color w:val="1B4B45"/>
                <w:sz w:val="22"/>
              </w:rPr>
              <w:br/>
            </w:r>
            <w:r>
              <w:rPr>
                <w:color w:val="000000"/>
              </w:rPr>
              <w:t>Illinois policy has moved from creating clean-energy programs to governing the physical and financial consequences of implementation. The 2026 agenda centers on deployment, utility governance, emissions, affordability, storage, cybersecurity, transmission, and large-load growth. The governing question is no longer simply whether to decarbonize; it is who builds, who pays, who bears risk, and who controls the transition.</w:t>
            </w:r>
          </w:p>
        </w:tc>
      </w:tr>
    </w:tbl>
    <w:p w14:paraId="0A37501D" w14:textId="77777777" w:rsidR="003C0548" w:rsidRDefault="003C0548">
      <w:pPr>
        <w:spacing w:after="0"/>
      </w:pPr>
    </w:p>
    <w:p w14:paraId="5DAB6C7B" w14:textId="77777777" w:rsidR="003C0548" w:rsidRDefault="006F72DF">
      <w:r>
        <w:br/>
      </w:r>
    </w:p>
    <w:tbl>
      <w:tblPr>
        <w:tblW w:w="0" w:type="auto"/>
        <w:tblCellMar>
          <w:left w:w="0" w:type="dxa"/>
          <w:right w:w="0" w:type="dxa"/>
        </w:tblCellMar>
        <w:tblLook w:val="04A0" w:firstRow="1" w:lastRow="0" w:firstColumn="1" w:lastColumn="0" w:noHBand="0" w:noVBand="1"/>
      </w:tblPr>
      <w:tblGrid>
        <w:gridCol w:w="2255"/>
        <w:gridCol w:w="2096"/>
        <w:gridCol w:w="5815"/>
      </w:tblGrid>
      <w:tr w:rsidR="00E23FC0" w14:paraId="109B0888" w14:textId="77777777">
        <w:tc>
          <w:tcPr>
            <w:tcW w:w="2304"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10695A91" w14:textId="77777777" w:rsidR="00E23FC0" w:rsidRDefault="00E23FC0">
            <w:pPr>
              <w:spacing w:after="0"/>
              <w:jc w:val="center"/>
              <w:rPr>
                <w:kern w:val="2"/>
                <w:szCs w:val="19"/>
                <w14:ligatures w14:val="standardContextual"/>
              </w:rPr>
            </w:pPr>
            <w:r>
              <w:rPr>
                <w:b/>
                <w:bCs/>
                <w:color w:val="FFFFFF"/>
                <w:sz w:val="18"/>
                <w:szCs w:val="18"/>
              </w:rPr>
              <w:t>Portfolio indicator</w:t>
            </w:r>
          </w:p>
        </w:tc>
        <w:tc>
          <w:tcPr>
            <w:tcW w:w="216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34C42180" w14:textId="77777777" w:rsidR="00E23FC0" w:rsidRDefault="00E23FC0">
            <w:pPr>
              <w:spacing w:after="0"/>
              <w:jc w:val="center"/>
            </w:pPr>
            <w:r>
              <w:rPr>
                <w:b/>
                <w:bCs/>
                <w:color w:val="FFFFFF"/>
                <w:sz w:val="18"/>
                <w:szCs w:val="18"/>
              </w:rPr>
              <w:t>Result</w:t>
            </w:r>
          </w:p>
        </w:tc>
        <w:tc>
          <w:tcPr>
            <w:tcW w:w="604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63460783" w14:textId="77777777" w:rsidR="00E23FC0" w:rsidRDefault="00E23FC0">
            <w:pPr>
              <w:spacing w:after="0"/>
              <w:jc w:val="center"/>
            </w:pPr>
            <w:r>
              <w:rPr>
                <w:b/>
                <w:bCs/>
                <w:color w:val="FFFFFF"/>
                <w:sz w:val="18"/>
                <w:szCs w:val="18"/>
              </w:rPr>
              <w:t>Executive meaning</w:t>
            </w:r>
          </w:p>
        </w:tc>
      </w:tr>
      <w:tr w:rsidR="00E23FC0" w14:paraId="1CD25ED6" w14:textId="77777777">
        <w:tc>
          <w:tcPr>
            <w:tcW w:w="2304" w:type="dxa"/>
            <w:tcBorders>
              <w:top w:val="nil"/>
              <w:left w:val="nil"/>
              <w:bottom w:val="nil"/>
              <w:right w:val="nil"/>
            </w:tcBorders>
            <w:shd w:val="clear" w:color="auto" w:fill="E6F2F0"/>
            <w:tcMar>
              <w:top w:w="0" w:type="dxa"/>
              <w:left w:w="108" w:type="dxa"/>
              <w:bottom w:w="0" w:type="dxa"/>
              <w:right w:w="108" w:type="dxa"/>
            </w:tcMar>
            <w:vAlign w:val="center"/>
            <w:hideMark/>
          </w:tcPr>
          <w:p w14:paraId="26A2F803" w14:textId="77777777" w:rsidR="00E23FC0" w:rsidRDefault="00E23FC0">
            <w:pPr>
              <w:spacing w:after="0"/>
              <w:jc w:val="center"/>
            </w:pPr>
            <w:r>
              <w:rPr>
                <w:color w:val="1B4B45"/>
                <w:sz w:val="18"/>
                <w:szCs w:val="18"/>
              </w:rPr>
              <w:t>Tracked records</w:t>
            </w:r>
          </w:p>
        </w:tc>
        <w:tc>
          <w:tcPr>
            <w:tcW w:w="2160" w:type="dxa"/>
            <w:tcBorders>
              <w:top w:val="nil"/>
              <w:left w:val="nil"/>
              <w:bottom w:val="nil"/>
              <w:right w:val="nil"/>
            </w:tcBorders>
            <w:shd w:val="clear" w:color="auto" w:fill="E6F2F0"/>
            <w:tcMar>
              <w:top w:w="0" w:type="dxa"/>
              <w:left w:w="108" w:type="dxa"/>
              <w:bottom w:w="0" w:type="dxa"/>
              <w:right w:w="108" w:type="dxa"/>
            </w:tcMar>
            <w:vAlign w:val="center"/>
            <w:hideMark/>
          </w:tcPr>
          <w:p w14:paraId="5511642E" w14:textId="77777777" w:rsidR="00E23FC0" w:rsidRDefault="00E23FC0">
            <w:pPr>
              <w:spacing w:after="0"/>
            </w:pPr>
            <w:r>
              <w:rPr>
                <w:color w:val="1B4B45"/>
                <w:sz w:val="18"/>
                <w:szCs w:val="18"/>
              </w:rPr>
              <w:t>792 bill-year records</w:t>
            </w:r>
          </w:p>
        </w:tc>
        <w:tc>
          <w:tcPr>
            <w:tcW w:w="6048" w:type="dxa"/>
            <w:tcBorders>
              <w:top w:val="nil"/>
              <w:left w:val="nil"/>
              <w:bottom w:val="nil"/>
              <w:right w:val="nil"/>
            </w:tcBorders>
            <w:shd w:val="clear" w:color="auto" w:fill="E6F2F0"/>
            <w:tcMar>
              <w:top w:w="0" w:type="dxa"/>
              <w:left w:w="108" w:type="dxa"/>
              <w:bottom w:w="0" w:type="dxa"/>
              <w:right w:w="108" w:type="dxa"/>
            </w:tcMar>
            <w:vAlign w:val="center"/>
            <w:hideMark/>
          </w:tcPr>
          <w:p w14:paraId="173D116E" w14:textId="77777777" w:rsidR="00E23FC0" w:rsidRDefault="00E23FC0">
            <w:pPr>
              <w:spacing w:after="0"/>
            </w:pPr>
            <w:r>
              <w:rPr>
                <w:color w:val="1B4B45"/>
                <w:sz w:val="18"/>
                <w:szCs w:val="18"/>
              </w:rPr>
              <w:t>Sufficient scale to identify multi-year directional signals</w:t>
            </w:r>
          </w:p>
        </w:tc>
      </w:tr>
      <w:tr w:rsidR="00E23FC0" w14:paraId="655DC1F1" w14:textId="77777777">
        <w:tc>
          <w:tcPr>
            <w:tcW w:w="2304" w:type="dxa"/>
            <w:tcBorders>
              <w:top w:val="nil"/>
              <w:left w:val="nil"/>
              <w:bottom w:val="nil"/>
              <w:right w:val="nil"/>
            </w:tcBorders>
            <w:tcMar>
              <w:top w:w="0" w:type="dxa"/>
              <w:left w:w="108" w:type="dxa"/>
              <w:bottom w:w="0" w:type="dxa"/>
              <w:right w:w="108" w:type="dxa"/>
            </w:tcMar>
            <w:vAlign w:val="center"/>
            <w:hideMark/>
          </w:tcPr>
          <w:p w14:paraId="4D8D0238" w14:textId="77777777" w:rsidR="00E23FC0" w:rsidRDefault="00E23FC0">
            <w:pPr>
              <w:spacing w:after="0"/>
              <w:jc w:val="center"/>
            </w:pPr>
            <w:r>
              <w:rPr>
                <w:color w:val="1B4B45"/>
                <w:sz w:val="18"/>
                <w:szCs w:val="18"/>
              </w:rPr>
              <w:t>2026 volume</w:t>
            </w:r>
          </w:p>
        </w:tc>
        <w:tc>
          <w:tcPr>
            <w:tcW w:w="2160" w:type="dxa"/>
            <w:tcBorders>
              <w:top w:val="nil"/>
              <w:left w:val="nil"/>
              <w:bottom w:val="nil"/>
              <w:right w:val="nil"/>
            </w:tcBorders>
            <w:tcMar>
              <w:top w:w="0" w:type="dxa"/>
              <w:left w:w="108" w:type="dxa"/>
              <w:bottom w:w="0" w:type="dxa"/>
              <w:right w:w="108" w:type="dxa"/>
            </w:tcMar>
            <w:vAlign w:val="center"/>
            <w:hideMark/>
          </w:tcPr>
          <w:p w14:paraId="359B0D50" w14:textId="77777777" w:rsidR="00E23FC0" w:rsidRDefault="00E23FC0">
            <w:pPr>
              <w:spacing w:after="0"/>
            </w:pPr>
            <w:r>
              <w:rPr>
                <w:color w:val="1B4B45"/>
                <w:sz w:val="18"/>
                <w:szCs w:val="18"/>
              </w:rPr>
              <w:t>160 bills (+37.9% YoY)</w:t>
            </w:r>
          </w:p>
        </w:tc>
        <w:tc>
          <w:tcPr>
            <w:tcW w:w="6048" w:type="dxa"/>
            <w:tcBorders>
              <w:top w:val="nil"/>
              <w:left w:val="nil"/>
              <w:bottom w:val="nil"/>
              <w:right w:val="nil"/>
            </w:tcBorders>
            <w:tcMar>
              <w:top w:w="0" w:type="dxa"/>
              <w:left w:w="108" w:type="dxa"/>
              <w:bottom w:w="0" w:type="dxa"/>
              <w:right w:w="108" w:type="dxa"/>
            </w:tcMar>
            <w:vAlign w:val="center"/>
            <w:hideMark/>
          </w:tcPr>
          <w:p w14:paraId="185A9047" w14:textId="77777777" w:rsidR="00E23FC0" w:rsidRDefault="00E23FC0">
            <w:pPr>
              <w:spacing w:after="0"/>
            </w:pPr>
            <w:r>
              <w:rPr>
                <w:color w:val="1B4B45"/>
                <w:sz w:val="18"/>
                <w:szCs w:val="18"/>
              </w:rPr>
              <w:t>Agenda expansion and greater issue fragmentation</w:t>
            </w:r>
          </w:p>
        </w:tc>
      </w:tr>
      <w:tr w:rsidR="00E23FC0" w14:paraId="4AE22064" w14:textId="77777777">
        <w:tc>
          <w:tcPr>
            <w:tcW w:w="2304" w:type="dxa"/>
            <w:tcBorders>
              <w:top w:val="nil"/>
              <w:left w:val="nil"/>
              <w:bottom w:val="nil"/>
              <w:right w:val="nil"/>
            </w:tcBorders>
            <w:shd w:val="clear" w:color="auto" w:fill="E6F2F0"/>
            <w:tcMar>
              <w:top w:w="0" w:type="dxa"/>
              <w:left w:w="108" w:type="dxa"/>
              <w:bottom w:w="0" w:type="dxa"/>
              <w:right w:w="108" w:type="dxa"/>
            </w:tcMar>
            <w:vAlign w:val="center"/>
            <w:hideMark/>
          </w:tcPr>
          <w:p w14:paraId="58E625B2" w14:textId="77777777" w:rsidR="00E23FC0" w:rsidRDefault="00E23FC0">
            <w:pPr>
              <w:spacing w:after="0"/>
              <w:jc w:val="center"/>
            </w:pPr>
            <w:r>
              <w:rPr>
                <w:color w:val="1B4B45"/>
                <w:sz w:val="18"/>
                <w:szCs w:val="18"/>
              </w:rPr>
              <w:t>Persistent subjects</w:t>
            </w:r>
          </w:p>
        </w:tc>
        <w:tc>
          <w:tcPr>
            <w:tcW w:w="2160" w:type="dxa"/>
            <w:tcBorders>
              <w:top w:val="nil"/>
              <w:left w:val="nil"/>
              <w:bottom w:val="nil"/>
              <w:right w:val="nil"/>
            </w:tcBorders>
            <w:shd w:val="clear" w:color="auto" w:fill="E6F2F0"/>
            <w:tcMar>
              <w:top w:w="0" w:type="dxa"/>
              <w:left w:w="108" w:type="dxa"/>
              <w:bottom w:w="0" w:type="dxa"/>
              <w:right w:w="108" w:type="dxa"/>
            </w:tcMar>
            <w:vAlign w:val="center"/>
            <w:hideMark/>
          </w:tcPr>
          <w:p w14:paraId="10411421" w14:textId="77777777" w:rsidR="00E23FC0" w:rsidRDefault="00E23FC0">
            <w:pPr>
              <w:spacing w:after="0"/>
            </w:pPr>
            <w:r>
              <w:rPr>
                <w:color w:val="1B4B45"/>
                <w:sz w:val="18"/>
                <w:szCs w:val="18"/>
              </w:rPr>
              <w:t>58 of 609 (9.5%) recur</w:t>
            </w:r>
          </w:p>
        </w:tc>
        <w:tc>
          <w:tcPr>
            <w:tcW w:w="6048" w:type="dxa"/>
            <w:tcBorders>
              <w:top w:val="nil"/>
              <w:left w:val="nil"/>
              <w:bottom w:val="nil"/>
              <w:right w:val="nil"/>
            </w:tcBorders>
            <w:shd w:val="clear" w:color="auto" w:fill="E6F2F0"/>
            <w:tcMar>
              <w:top w:w="0" w:type="dxa"/>
              <w:left w:w="108" w:type="dxa"/>
              <w:bottom w:w="0" w:type="dxa"/>
              <w:right w:w="108" w:type="dxa"/>
            </w:tcMar>
            <w:vAlign w:val="center"/>
            <w:hideMark/>
          </w:tcPr>
          <w:p w14:paraId="2BADF022" w14:textId="77777777" w:rsidR="00E23FC0" w:rsidRDefault="00E23FC0">
            <w:pPr>
              <w:spacing w:after="0"/>
            </w:pPr>
            <w:r>
              <w:rPr>
                <w:color w:val="1B4B45"/>
                <w:sz w:val="18"/>
                <w:szCs w:val="18"/>
              </w:rPr>
              <w:t>Most filings are episodic; durable agenda is much smaller</w:t>
            </w:r>
          </w:p>
        </w:tc>
      </w:tr>
      <w:tr w:rsidR="00E23FC0" w14:paraId="163FBED9" w14:textId="77777777">
        <w:tc>
          <w:tcPr>
            <w:tcW w:w="2304" w:type="dxa"/>
            <w:tcBorders>
              <w:top w:val="nil"/>
              <w:left w:val="nil"/>
              <w:bottom w:val="nil"/>
              <w:right w:val="nil"/>
            </w:tcBorders>
            <w:tcMar>
              <w:top w:w="0" w:type="dxa"/>
              <w:left w:w="108" w:type="dxa"/>
              <w:bottom w:w="0" w:type="dxa"/>
              <w:right w:w="108" w:type="dxa"/>
            </w:tcMar>
            <w:vAlign w:val="center"/>
            <w:hideMark/>
          </w:tcPr>
          <w:p w14:paraId="60018693" w14:textId="77777777" w:rsidR="00E23FC0" w:rsidRDefault="00E23FC0">
            <w:pPr>
              <w:spacing w:after="0"/>
              <w:jc w:val="center"/>
            </w:pPr>
            <w:r>
              <w:rPr>
                <w:color w:val="1B4B45"/>
                <w:sz w:val="18"/>
                <w:szCs w:val="18"/>
              </w:rPr>
              <w:t>2026 Senate share</w:t>
            </w:r>
          </w:p>
        </w:tc>
        <w:tc>
          <w:tcPr>
            <w:tcW w:w="2160" w:type="dxa"/>
            <w:tcBorders>
              <w:top w:val="nil"/>
              <w:left w:val="nil"/>
              <w:bottom w:val="nil"/>
              <w:right w:val="nil"/>
            </w:tcBorders>
            <w:tcMar>
              <w:top w:w="0" w:type="dxa"/>
              <w:left w:w="108" w:type="dxa"/>
              <w:bottom w:w="0" w:type="dxa"/>
              <w:right w:w="108" w:type="dxa"/>
            </w:tcMar>
            <w:vAlign w:val="center"/>
            <w:hideMark/>
          </w:tcPr>
          <w:p w14:paraId="3594A4F9" w14:textId="77777777" w:rsidR="00E23FC0" w:rsidRDefault="00E23FC0">
            <w:pPr>
              <w:spacing w:after="0"/>
            </w:pPr>
            <w:r>
              <w:rPr>
                <w:color w:val="1B4B45"/>
                <w:sz w:val="18"/>
                <w:szCs w:val="18"/>
              </w:rPr>
              <w:t>55.6%</w:t>
            </w:r>
          </w:p>
        </w:tc>
        <w:tc>
          <w:tcPr>
            <w:tcW w:w="6048" w:type="dxa"/>
            <w:tcBorders>
              <w:top w:val="nil"/>
              <w:left w:val="nil"/>
              <w:bottom w:val="nil"/>
              <w:right w:val="nil"/>
            </w:tcBorders>
            <w:tcMar>
              <w:top w:w="0" w:type="dxa"/>
              <w:left w:w="108" w:type="dxa"/>
              <w:bottom w:w="0" w:type="dxa"/>
              <w:right w:w="108" w:type="dxa"/>
            </w:tcMar>
            <w:vAlign w:val="center"/>
            <w:hideMark/>
          </w:tcPr>
          <w:p w14:paraId="2289A9B1" w14:textId="77777777" w:rsidR="00E23FC0" w:rsidRDefault="00E23FC0">
            <w:pPr>
              <w:spacing w:after="0"/>
            </w:pPr>
            <w:r>
              <w:rPr>
                <w:color w:val="1B4B45"/>
                <w:sz w:val="18"/>
                <w:szCs w:val="18"/>
              </w:rPr>
              <w:t>Chamber mix has shifted toward Senate-originated measures</w:t>
            </w:r>
          </w:p>
        </w:tc>
      </w:tr>
      <w:tr w:rsidR="00E23FC0" w14:paraId="5C6F1217" w14:textId="77777777">
        <w:tc>
          <w:tcPr>
            <w:tcW w:w="2304"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2689529D" w14:textId="77777777" w:rsidR="00E23FC0" w:rsidRDefault="00E23FC0">
            <w:pPr>
              <w:spacing w:after="0"/>
              <w:jc w:val="center"/>
            </w:pPr>
            <w:proofErr w:type="gramStart"/>
            <w:r>
              <w:rPr>
                <w:color w:val="1B4B45"/>
                <w:sz w:val="18"/>
                <w:szCs w:val="18"/>
              </w:rPr>
              <w:t>Top-five</w:t>
            </w:r>
            <w:proofErr w:type="gramEnd"/>
            <w:r>
              <w:rPr>
                <w:color w:val="1B4B45"/>
                <w:sz w:val="18"/>
                <w:szCs w:val="18"/>
              </w:rPr>
              <w:t xml:space="preserve"> concentration</w:t>
            </w:r>
          </w:p>
        </w:tc>
        <w:tc>
          <w:tcPr>
            <w:tcW w:w="216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7D332B52" w14:textId="77777777" w:rsidR="00E23FC0" w:rsidRDefault="00E23FC0">
            <w:pPr>
              <w:spacing w:after="0"/>
            </w:pPr>
            <w:r>
              <w:rPr>
                <w:color w:val="1B4B45"/>
                <w:sz w:val="18"/>
                <w:szCs w:val="18"/>
              </w:rPr>
              <w:t>47.5% in 2026 vs. 65.0% in 2020</w:t>
            </w:r>
          </w:p>
        </w:tc>
        <w:tc>
          <w:tcPr>
            <w:tcW w:w="6048"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2F11E446" w14:textId="77777777" w:rsidR="00E23FC0" w:rsidRDefault="00E23FC0">
            <w:pPr>
              <w:spacing w:after="0"/>
            </w:pPr>
            <w:r>
              <w:rPr>
                <w:color w:val="1B4B45"/>
                <w:sz w:val="18"/>
                <w:szCs w:val="18"/>
              </w:rPr>
              <w:t>Leadership attention must cover more simultaneous issue fronts</w:t>
            </w:r>
          </w:p>
        </w:tc>
      </w:tr>
    </w:tbl>
    <w:p w14:paraId="4AFDC614" w14:textId="77777777" w:rsidR="003C0548" w:rsidRDefault="006F72DF">
      <w:pPr>
        <w:pStyle w:val="SourceNote"/>
      </w:pPr>
      <w:r>
        <w:t>Internal source: 2026 Bill Trends Report 2.xlsx, Executive Brief, Issue Transitions, and Bill Dataset. Counts are unique by year and bill number.</w:t>
      </w:r>
    </w:p>
    <w:p w14:paraId="2F164259" w14:textId="77777777" w:rsidR="003C0548" w:rsidRDefault="006F72DF">
      <w:pPr>
        <w:jc w:val="center"/>
      </w:pPr>
      <w:r>
        <w:rPr>
          <w:color w:val="646464"/>
          <w:sz w:val="18"/>
        </w:rPr>
        <w:t>Prepared for executive consumption | August 10, 2026</w:t>
      </w:r>
    </w:p>
    <w:p w14:paraId="02EB378F" w14:textId="77777777" w:rsidR="003C0548" w:rsidRDefault="006F72DF">
      <w:r>
        <w:br w:type="page"/>
      </w:r>
    </w:p>
    <w:p w14:paraId="614DEF64" w14:textId="77777777" w:rsidR="00E23FC0" w:rsidRDefault="00E23FC0" w:rsidP="00E23FC0">
      <w:pPr>
        <w:pStyle w:val="Heading1"/>
        <w:rPr>
          <w:color w:val="1B4B45"/>
          <w:kern w:val="36"/>
          <w:szCs w:val="34"/>
          <w14:ligatures w14:val="standardContextual"/>
        </w:rPr>
      </w:pPr>
      <w:r>
        <w:rPr>
          <w:color w:val="1B4B45"/>
        </w:rPr>
        <w:lastRenderedPageBreak/>
        <w:t>1. Executive Summary</w:t>
      </w:r>
    </w:p>
    <w:tbl>
      <w:tblPr>
        <w:tblW w:w="0" w:type="auto"/>
        <w:tblCellMar>
          <w:left w:w="0" w:type="dxa"/>
          <w:right w:w="0" w:type="dxa"/>
        </w:tblCellMar>
        <w:tblLook w:val="04A0" w:firstRow="1" w:lastRow="0" w:firstColumn="1" w:lastColumn="0" w:noHBand="0" w:noVBand="1"/>
      </w:tblPr>
      <w:tblGrid>
        <w:gridCol w:w="10136"/>
      </w:tblGrid>
      <w:tr w:rsidR="00E23FC0" w14:paraId="0011A71A" w14:textId="77777777">
        <w:tc>
          <w:tcPr>
            <w:tcW w:w="10166" w:type="dxa"/>
            <w:tcBorders>
              <w:left w:val="single" w:sz="24" w:space="0" w:color="2F8577"/>
            </w:tcBorders>
            <w:shd w:val="clear" w:color="auto" w:fill="EAF6F3"/>
            <w:tcMar>
              <w:top w:w="0" w:type="dxa"/>
              <w:left w:w="160" w:type="dxa"/>
              <w:bottom w:w="0" w:type="dxa"/>
              <w:right w:w="108" w:type="dxa"/>
            </w:tcMar>
            <w:hideMark/>
          </w:tcPr>
          <w:p w14:paraId="3A8E4C4B" w14:textId="77777777" w:rsidR="00E23FC0" w:rsidRDefault="00E23FC0">
            <w:pPr>
              <w:rPr>
                <w:kern w:val="2"/>
                <w:szCs w:val="19"/>
                <w14:ligatures w14:val="standardContextual"/>
              </w:rPr>
            </w:pPr>
            <w:r>
              <w:rPr>
                <w:b/>
                <w:bCs/>
                <w:color w:val="1B4B45"/>
                <w:sz w:val="22"/>
              </w:rPr>
              <w:t>Bottom line</w:t>
            </w:r>
            <w:r>
              <w:rPr>
                <w:b/>
                <w:bCs/>
                <w:color w:val="1B4B45"/>
                <w:sz w:val="22"/>
              </w:rPr>
              <w:br/>
            </w:r>
            <w:r>
              <w:rPr>
                <w:color w:val="000000"/>
              </w:rPr>
              <w:t xml:space="preserve">The portfolio is </w:t>
            </w:r>
            <w:proofErr w:type="gramStart"/>
            <w:r>
              <w:rPr>
                <w:color w:val="000000"/>
              </w:rPr>
              <w:t>expanding, but</w:t>
            </w:r>
            <w:proofErr w:type="gramEnd"/>
            <w:r>
              <w:rPr>
                <w:color w:val="000000"/>
              </w:rPr>
              <w:t xml:space="preserve"> not simply accumulating. Volume doubled from 80 bills in 2020 to 160 in 2026, while only a small share of subjects </w:t>
            </w:r>
            <w:proofErr w:type="gramStart"/>
            <w:r>
              <w:rPr>
                <w:color w:val="000000"/>
              </w:rPr>
              <w:t>reappear</w:t>
            </w:r>
            <w:proofErr w:type="gramEnd"/>
            <w:r>
              <w:rPr>
                <w:color w:val="000000"/>
              </w:rPr>
              <w:t xml:space="preserve"> across years. This combination - high churn plus rapid growth - makes early issue detection more valuable than retrospective bill counting.</w:t>
            </w:r>
          </w:p>
        </w:tc>
      </w:tr>
    </w:tbl>
    <w:p w14:paraId="6A05A809" w14:textId="77777777" w:rsidR="003C0548" w:rsidRDefault="003C0548">
      <w:pPr>
        <w:spacing w:after="0"/>
      </w:pPr>
    </w:p>
    <w:p w14:paraId="33F33A95" w14:textId="77777777" w:rsidR="003C0548" w:rsidRDefault="006F72DF">
      <w:r>
        <w:t>2026 is an implementation-governance year. Clean Energy Deployment leads the refined taxonomy with 24 bills, followed by Utility Operations &amp; Governance with 17. Cybersecurity, Privacy &amp; AI and Decarbonization, Emissions &amp; Climate each reach 12, while Utility Rates, Affordability &amp; Cost Recovery reaches 11.</w:t>
      </w:r>
    </w:p>
    <w:p w14:paraId="2002F0EC" w14:textId="77777777" w:rsidR="003C0548" w:rsidRDefault="006F72DF">
      <w:r>
        <w:t>The fastest accelerators are not all mature policy families. Energy Storage rose from 2 bills in 2025 to 9 in 2026; Cybersecurity/Privacy/AI rose from 6 to 12; Data Centers &amp; Large Loads rose from 5 to 8; and Natural Gas &amp; Future of Gas rose from 1 to 5. These areas are being shaped in real time and offer the greatest opportunity for proactive positioning.</w:t>
      </w:r>
    </w:p>
    <w:p w14:paraId="50B32AA6" w14:textId="77777777" w:rsidR="003C0548" w:rsidRDefault="006F72DF">
      <w:r>
        <w:t>The national comparison supports the Illinois signal. Across states, data-center policy has shifted from incentives toward cost allocation, special tariffs, water and energy disclosure, siting, and ratepayer protection. Storage policy is similarly moving from procurement targets to siting, safety, ownership, and interconnection. Climate Superfund proposals are diffusing from New York and Vermont while facing significant litigation risk.</w:t>
      </w:r>
    </w:p>
    <w:p w14:paraId="1A95DF6D" w14:textId="77777777" w:rsidR="003C0548" w:rsidRDefault="006F72DF">
      <w:r>
        <w:t>For enterprise strategy, the issues should be treated as a connected system: large loads drive generation and grid needs; grid investment drives cost recovery; cost recovery drives affordability politics; affordability pressures alter regulatory and legislative risk; and siting, environmental justice, cybersecurity, and local authority can become deployment constraints.</w:t>
      </w:r>
    </w:p>
    <w:p w14:paraId="5A39BBE3" w14:textId="77777777" w:rsidR="003C0548" w:rsidRDefault="006F72DF">
      <w:pPr>
        <w:jc w:val="center"/>
      </w:pPr>
      <w:r>
        <w:rPr>
          <w:noProof/>
        </w:rPr>
        <w:drawing>
          <wp:inline distT="0" distB="0" distL="0" distR="0" wp14:anchorId="3CC484B4" wp14:editId="07777777">
            <wp:extent cx="6400800" cy="2594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volume.png"/>
                    <pic:cNvPicPr/>
                  </pic:nvPicPr>
                  <pic:blipFill>
                    <a:blip r:embed="rId8"/>
                    <a:stretch>
                      <a:fillRect/>
                    </a:stretch>
                  </pic:blipFill>
                  <pic:spPr>
                    <a:xfrm>
                      <a:off x="0" y="0"/>
                      <a:ext cx="6400800" cy="2594799"/>
                    </a:xfrm>
                    <a:prstGeom prst="rect">
                      <a:avLst/>
                    </a:prstGeom>
                  </pic:spPr>
                </pic:pic>
              </a:graphicData>
            </a:graphic>
          </wp:inline>
        </w:drawing>
      </w:r>
    </w:p>
    <w:p w14:paraId="2F60A961" w14:textId="77777777" w:rsidR="003C0548" w:rsidRDefault="2E92F8CF">
      <w:pPr>
        <w:pStyle w:val="SourceNote"/>
      </w:pPr>
      <w:r>
        <w:t>Internal analysis of unique bill-year records in 2026 Bill Trends Report 2.xlsx.</w:t>
      </w:r>
    </w:p>
    <w:p w14:paraId="4FC61CC6" w14:textId="77777777" w:rsidR="00E23FC0" w:rsidRDefault="00E23FC0" w:rsidP="00E23FC0">
      <w:pPr>
        <w:pStyle w:val="Heading1"/>
        <w:rPr>
          <w:color w:val="1B4B45"/>
          <w:kern w:val="36"/>
          <w:szCs w:val="34"/>
          <w14:ligatures w14:val="standardContextual"/>
        </w:rPr>
      </w:pPr>
      <w:r>
        <w:rPr>
          <w:color w:val="1B4B45"/>
        </w:rPr>
        <w:t>1A. What Matters Most</w:t>
      </w:r>
    </w:p>
    <w:tbl>
      <w:tblPr>
        <w:tblW w:w="0" w:type="auto"/>
        <w:tblCellMar>
          <w:left w:w="0" w:type="dxa"/>
          <w:right w:w="0" w:type="dxa"/>
        </w:tblCellMar>
        <w:tblLook w:val="04A0" w:firstRow="1" w:lastRow="0" w:firstColumn="1" w:lastColumn="0" w:noHBand="0" w:noVBand="1"/>
      </w:tblPr>
      <w:tblGrid>
        <w:gridCol w:w="10136"/>
      </w:tblGrid>
      <w:tr w:rsidR="00E23FC0" w14:paraId="4F33CB46" w14:textId="77777777">
        <w:tc>
          <w:tcPr>
            <w:tcW w:w="10155" w:type="dxa"/>
            <w:tcBorders>
              <w:top w:val="nil"/>
              <w:left w:val="single" w:sz="24" w:space="0" w:color="2F8577"/>
              <w:bottom w:val="nil"/>
              <w:right w:val="nil"/>
            </w:tcBorders>
            <w:shd w:val="clear" w:color="auto" w:fill="EAF6F3"/>
            <w:tcMar>
              <w:top w:w="0" w:type="dxa"/>
              <w:left w:w="160" w:type="dxa"/>
              <w:bottom w:w="0" w:type="dxa"/>
              <w:right w:w="108" w:type="dxa"/>
            </w:tcMar>
            <w:hideMark/>
          </w:tcPr>
          <w:p w14:paraId="7C39C47C" w14:textId="77777777" w:rsidR="00E23FC0" w:rsidRDefault="00E23FC0">
            <w:pPr>
              <w:spacing w:after="0"/>
              <w:rPr>
                <w:kern w:val="2"/>
                <w:szCs w:val="19"/>
                <w14:ligatures w14:val="standardContextual"/>
              </w:rPr>
            </w:pPr>
            <w:r>
              <w:rPr>
                <w:b/>
                <w:bCs/>
                <w:color w:val="1B4B45"/>
                <w:sz w:val="22"/>
              </w:rPr>
              <w:t xml:space="preserve">Reader </w:t>
            </w:r>
            <w:proofErr w:type="gramStart"/>
            <w:r>
              <w:rPr>
                <w:b/>
                <w:bCs/>
                <w:color w:val="1B4B45"/>
                <w:sz w:val="22"/>
              </w:rPr>
              <w:t>focus</w:t>
            </w:r>
            <w:proofErr w:type="gramEnd"/>
            <w:r>
              <w:rPr>
                <w:color w:val="000000"/>
              </w:rPr>
              <w:br/>
              <w:t>The report should be read less as a bill-counting exercise and more as an early-warning system for where infrastructure growth, affordability, reliability, local control, and political legitimacy are beginning to collide.</w:t>
            </w:r>
          </w:p>
        </w:tc>
      </w:tr>
    </w:tbl>
    <w:p w14:paraId="2CC6DC2A" w14:textId="594E47C2" w:rsidR="2E92F8CF" w:rsidRDefault="2E92F8CF" w:rsidP="2E92F8CF"/>
    <w:p w14:paraId="17334E3F" w14:textId="6DC8ACF3" w:rsidR="2E92F8CF" w:rsidRDefault="2E92F8CF" w:rsidP="2E92F8CF">
      <w:r w:rsidRPr="2E92F8CF">
        <w:rPr>
          <w:b/>
          <w:bCs/>
          <w:color w:val="17365D" w:themeColor="text2" w:themeShade="BF"/>
        </w:rPr>
        <w:t>1. The strategic fight has shifted from clean-energy ambition to governance of consequences.</w:t>
      </w:r>
      <w:r>
        <w:br/>
        <w:t xml:space="preserve">Illinois policy has moved beyond whether to advance clean energy and into the harder questions of who builds, who pays, who bears risk, and who controls implementation. The 2026 issue mix makes that clear: Clean Energy Deployment leads </w:t>
      </w:r>
      <w:r>
        <w:lastRenderedPageBreak/>
        <w:t>with 24 bills, Utility Operations &amp; Governance follows with 17, Cybersecurity/Privacy/AI and Decarbonization each reach 12, and Utility Rates, Affordability &amp; Cost Recovery reaches 11. That mix signals a transition from aspiration to operational governance.</w:t>
      </w:r>
    </w:p>
    <w:p w14:paraId="03733C8F" w14:textId="4D92CC12" w:rsidR="2E92F8CF" w:rsidRDefault="2E92F8CF" w:rsidP="2E92F8CF">
      <w:r w:rsidRPr="2E92F8CF">
        <w:rPr>
          <w:b/>
          <w:bCs/>
          <w:color w:val="17365D" w:themeColor="text2" w:themeShade="BF"/>
        </w:rPr>
        <w:t>2. Rising volume masks a fragmented agenda.</w:t>
      </w:r>
      <w:r>
        <w:br/>
        <w:t>The portfolio reaches 160 bills in 2026, up 37.9% year over year, but only 58 of 609 subjects recur and only 13 recurring subjects remain active in 2026. The implication is that leadership should not treat every filing as equally meaningful. The real value is separating durable policy signals from episodic proposals before attention and advocacy resources are spread too thin.</w:t>
      </w:r>
    </w:p>
    <w:p w14:paraId="71760E04" w14:textId="7676EFDC" w:rsidR="2E92F8CF" w:rsidRDefault="2E92F8CF" w:rsidP="2E92F8CF">
      <w:r w:rsidRPr="2E92F8CF">
        <w:rPr>
          <w:b/>
          <w:bCs/>
          <w:color w:val="17365D" w:themeColor="text2" w:themeShade="BF"/>
        </w:rPr>
        <w:t>3. Large loads may become the organizing issue behind several policy conflicts.</w:t>
      </w:r>
      <w:r>
        <w:br/>
        <w:t>Data Centers &amp; Large Loads increased from 5 bills in 2025 to 8 in 2026, but the category matters more because it connects multiple pressures at once: generation need, transmission buildout, water use, siting, tariffs, cost allocation, and customer affordability. Nationally, more than 40 states considered 267 data-center-related bills in 2025, and 25 utilities across 19 states had filed data-center-specific tariffs by March 2026. This is likely to become a durable utility-policy category rather than a narrow technology issue.</w:t>
      </w:r>
    </w:p>
    <w:p w14:paraId="1D630390" w14:textId="1438D4FB" w:rsidR="2E92F8CF" w:rsidRDefault="2E92F8CF" w:rsidP="2E92F8CF">
      <w:r w:rsidRPr="2E92F8CF">
        <w:rPr>
          <w:b/>
          <w:bCs/>
          <w:color w:val="17365D" w:themeColor="text2" w:themeShade="BF"/>
        </w:rPr>
        <w:t>4. Affordability is the pressure point that can redefine infrastructure strategy.</w:t>
      </w:r>
      <w:r>
        <w:br/>
        <w:t>The report shows affordability moving from a customer-program topic to a central political constraint on investment. 2026 bills include cost recovery, low-income rates, rate caps, freezes, hearings, and recovery limits. The tension is direct: utilities need financeable investment for load growth, reliability, storage, and transmission, but legislative tolerance may weaken if those costs are perceived as shifted to households. The company’s policy posture should therefore connect investment, customer protection, and cost causation before rate pressure becomes the dominant public narrative.</w:t>
      </w:r>
    </w:p>
    <w:p w14:paraId="4F6C33EF" w14:textId="26F7C242" w:rsidR="2E92F8CF" w:rsidRDefault="2E92F8CF" w:rsidP="2E92F8CF">
      <w:r w:rsidRPr="2E92F8CF">
        <w:rPr>
          <w:b/>
          <w:bCs/>
          <w:color w:val="17365D" w:themeColor="text2" w:themeShade="BF"/>
        </w:rPr>
        <w:t>5. Low-precedent categories are where proactive positioning matters most.</w:t>
      </w:r>
      <w:r>
        <w:br/>
        <w:t xml:space="preserve">Energy Storage grew from 2 bills in 2025 to 9 in 2026, Cybersecurity/Privacy/AI rose from 6 to 12, and Natural Gas &amp; Future of Gas rose from 1 to 5. These categories have limited settled precedent, which means a triggering event such as a cyber incident, local storage opposition, summer bill shock, reliability failure, or data-center controversy could harden policy quickly. Early model language, principles, coalition strategy, and scenario planning are therefore </w:t>
      </w:r>
      <w:proofErr w:type="gramStart"/>
      <w:r>
        <w:t>higher-value</w:t>
      </w:r>
      <w:proofErr w:type="gramEnd"/>
      <w:r>
        <w:t xml:space="preserve"> than waiting for final bill text.</w:t>
      </w:r>
    </w:p>
    <w:p w14:paraId="42F048C7" w14:textId="77777777" w:rsidR="00E23FC0" w:rsidRDefault="00E23FC0" w:rsidP="00E23FC0">
      <w:pPr>
        <w:pStyle w:val="Heading1"/>
        <w:rPr>
          <w:color w:val="1B4B45"/>
          <w:kern w:val="36"/>
          <w:szCs w:val="34"/>
          <w14:ligatures w14:val="standardContextual"/>
        </w:rPr>
      </w:pPr>
      <w:r>
        <w:rPr>
          <w:color w:val="1B4B45"/>
        </w:rPr>
        <w:t>2. Seven-Year Evolution of the Agenda</w:t>
      </w:r>
    </w:p>
    <w:tbl>
      <w:tblPr>
        <w:tblW w:w="0" w:type="auto"/>
        <w:tblCellMar>
          <w:left w:w="0" w:type="dxa"/>
          <w:right w:w="0" w:type="dxa"/>
        </w:tblCellMar>
        <w:tblLook w:val="04A0" w:firstRow="1" w:lastRow="0" w:firstColumn="1" w:lastColumn="0" w:noHBand="0" w:noVBand="1"/>
      </w:tblPr>
      <w:tblGrid>
        <w:gridCol w:w="1396"/>
        <w:gridCol w:w="2035"/>
        <w:gridCol w:w="3539"/>
        <w:gridCol w:w="3196"/>
      </w:tblGrid>
      <w:tr w:rsidR="00E23FC0" w14:paraId="2E849467" w14:textId="77777777">
        <w:tc>
          <w:tcPr>
            <w:tcW w:w="144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35858B59" w14:textId="77777777" w:rsidR="00E23FC0" w:rsidRDefault="00E23FC0">
            <w:pPr>
              <w:spacing w:after="0"/>
              <w:jc w:val="center"/>
              <w:rPr>
                <w:kern w:val="2"/>
                <w:szCs w:val="19"/>
                <w14:ligatures w14:val="standardContextual"/>
              </w:rPr>
            </w:pPr>
            <w:r>
              <w:rPr>
                <w:b/>
                <w:bCs/>
                <w:color w:val="FFFFFF"/>
                <w:sz w:val="16"/>
                <w:szCs w:val="16"/>
              </w:rPr>
              <w:t>Period</w:t>
            </w:r>
          </w:p>
        </w:tc>
        <w:tc>
          <w:tcPr>
            <w:tcW w:w="208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F3FA820" w14:textId="77777777" w:rsidR="00E23FC0" w:rsidRDefault="00E23FC0">
            <w:pPr>
              <w:spacing w:after="0"/>
              <w:jc w:val="center"/>
            </w:pPr>
            <w:r>
              <w:rPr>
                <w:b/>
                <w:bCs/>
                <w:color w:val="FFFFFF"/>
                <w:sz w:val="16"/>
                <w:szCs w:val="16"/>
              </w:rPr>
              <w:t>Policy phase</w:t>
            </w:r>
          </w:p>
        </w:tc>
        <w:tc>
          <w:tcPr>
            <w:tcW w:w="3672"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2821C8D1" w14:textId="77777777" w:rsidR="00E23FC0" w:rsidRDefault="00E23FC0">
            <w:pPr>
              <w:spacing w:after="0"/>
              <w:jc w:val="center"/>
            </w:pPr>
            <w:r>
              <w:rPr>
                <w:b/>
                <w:bCs/>
                <w:color w:val="FFFFFF"/>
                <w:sz w:val="16"/>
                <w:szCs w:val="16"/>
              </w:rPr>
              <w:t>What legislators were really debating</w:t>
            </w:r>
          </w:p>
        </w:tc>
        <w:tc>
          <w:tcPr>
            <w:tcW w:w="3312"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3321B0B3" w14:textId="77777777" w:rsidR="00E23FC0" w:rsidRDefault="00E23FC0">
            <w:pPr>
              <w:spacing w:after="0"/>
              <w:jc w:val="center"/>
            </w:pPr>
            <w:r>
              <w:rPr>
                <w:b/>
                <w:bCs/>
                <w:color w:val="FFFFFF"/>
                <w:sz w:val="16"/>
                <w:szCs w:val="16"/>
              </w:rPr>
              <w:t>Enterprise implication</w:t>
            </w:r>
          </w:p>
        </w:tc>
      </w:tr>
      <w:tr w:rsidR="00E23FC0" w14:paraId="59178DF8" w14:textId="77777777">
        <w:tc>
          <w:tcPr>
            <w:tcW w:w="1440" w:type="dxa"/>
            <w:tcBorders>
              <w:top w:val="nil"/>
              <w:left w:val="nil"/>
              <w:bottom w:val="nil"/>
              <w:right w:val="nil"/>
            </w:tcBorders>
            <w:shd w:val="clear" w:color="auto" w:fill="E6F2F0"/>
            <w:tcMar>
              <w:top w:w="0" w:type="dxa"/>
              <w:left w:w="108" w:type="dxa"/>
              <w:bottom w:w="0" w:type="dxa"/>
              <w:right w:w="108" w:type="dxa"/>
            </w:tcMar>
            <w:vAlign w:val="center"/>
            <w:hideMark/>
          </w:tcPr>
          <w:p w14:paraId="2F3DF0EF" w14:textId="77777777" w:rsidR="00E23FC0" w:rsidRDefault="00E23FC0">
            <w:pPr>
              <w:spacing w:after="0"/>
              <w:jc w:val="center"/>
            </w:pPr>
            <w:r>
              <w:rPr>
                <w:color w:val="1B4B45"/>
                <w:sz w:val="16"/>
                <w:szCs w:val="16"/>
              </w:rPr>
              <w:t>2020-2021</w:t>
            </w:r>
          </w:p>
        </w:tc>
        <w:tc>
          <w:tcPr>
            <w:tcW w:w="2088" w:type="dxa"/>
            <w:tcBorders>
              <w:top w:val="nil"/>
              <w:left w:val="nil"/>
              <w:bottom w:val="nil"/>
              <w:right w:val="nil"/>
            </w:tcBorders>
            <w:shd w:val="clear" w:color="auto" w:fill="E6F2F0"/>
            <w:tcMar>
              <w:top w:w="0" w:type="dxa"/>
              <w:left w:w="108" w:type="dxa"/>
              <w:bottom w:w="0" w:type="dxa"/>
              <w:right w:w="108" w:type="dxa"/>
            </w:tcMar>
            <w:vAlign w:val="center"/>
            <w:hideMark/>
          </w:tcPr>
          <w:p w14:paraId="7650DF88" w14:textId="77777777" w:rsidR="00E23FC0" w:rsidRDefault="00E23FC0">
            <w:pPr>
              <w:spacing w:after="0"/>
            </w:pPr>
            <w:r>
              <w:rPr>
                <w:color w:val="1B4B45"/>
                <w:sz w:val="16"/>
                <w:szCs w:val="16"/>
              </w:rPr>
              <w:t>Foundation building</w:t>
            </w:r>
          </w:p>
        </w:tc>
        <w:tc>
          <w:tcPr>
            <w:tcW w:w="3672" w:type="dxa"/>
            <w:tcBorders>
              <w:top w:val="nil"/>
              <w:left w:val="nil"/>
              <w:bottom w:val="nil"/>
              <w:right w:val="nil"/>
            </w:tcBorders>
            <w:shd w:val="clear" w:color="auto" w:fill="E6F2F0"/>
            <w:tcMar>
              <w:top w:w="0" w:type="dxa"/>
              <w:left w:w="108" w:type="dxa"/>
              <w:bottom w:w="0" w:type="dxa"/>
              <w:right w:w="108" w:type="dxa"/>
            </w:tcMar>
            <w:vAlign w:val="center"/>
            <w:hideMark/>
          </w:tcPr>
          <w:p w14:paraId="179C5507" w14:textId="77777777" w:rsidR="00E23FC0" w:rsidRDefault="00E23FC0">
            <w:pPr>
              <w:spacing w:after="0"/>
            </w:pPr>
            <w:r>
              <w:rPr>
                <w:color w:val="1B4B45"/>
                <w:sz w:val="16"/>
                <w:szCs w:val="16"/>
              </w:rPr>
              <w:t>Clean energy, workforce transition, consumer protection, environmental justice</w:t>
            </w:r>
          </w:p>
        </w:tc>
        <w:tc>
          <w:tcPr>
            <w:tcW w:w="3312" w:type="dxa"/>
            <w:tcBorders>
              <w:top w:val="nil"/>
              <w:left w:val="nil"/>
              <w:bottom w:val="nil"/>
              <w:right w:val="nil"/>
            </w:tcBorders>
            <w:shd w:val="clear" w:color="auto" w:fill="E6F2F0"/>
            <w:tcMar>
              <w:top w:w="0" w:type="dxa"/>
              <w:left w:w="108" w:type="dxa"/>
              <w:bottom w:w="0" w:type="dxa"/>
              <w:right w:w="108" w:type="dxa"/>
            </w:tcMar>
            <w:vAlign w:val="center"/>
            <w:hideMark/>
          </w:tcPr>
          <w:p w14:paraId="6376A151" w14:textId="77777777" w:rsidR="00E23FC0" w:rsidRDefault="00E23FC0">
            <w:pPr>
              <w:spacing w:after="0"/>
            </w:pPr>
            <w:r>
              <w:rPr>
                <w:color w:val="1B4B45"/>
                <w:sz w:val="16"/>
                <w:szCs w:val="16"/>
              </w:rPr>
              <w:t>Build policy legitimacy and implementation pathways</w:t>
            </w:r>
          </w:p>
        </w:tc>
      </w:tr>
      <w:tr w:rsidR="00E23FC0" w14:paraId="552BB239" w14:textId="77777777">
        <w:tc>
          <w:tcPr>
            <w:tcW w:w="1440" w:type="dxa"/>
            <w:tcBorders>
              <w:top w:val="nil"/>
              <w:left w:val="nil"/>
              <w:bottom w:val="nil"/>
              <w:right w:val="nil"/>
            </w:tcBorders>
            <w:tcMar>
              <w:top w:w="0" w:type="dxa"/>
              <w:left w:w="108" w:type="dxa"/>
              <w:bottom w:w="0" w:type="dxa"/>
              <w:right w:w="108" w:type="dxa"/>
            </w:tcMar>
            <w:vAlign w:val="center"/>
            <w:hideMark/>
          </w:tcPr>
          <w:p w14:paraId="77AE525C" w14:textId="77777777" w:rsidR="00E23FC0" w:rsidRDefault="00E23FC0">
            <w:pPr>
              <w:spacing w:after="0"/>
              <w:jc w:val="center"/>
            </w:pPr>
            <w:r>
              <w:rPr>
                <w:color w:val="1B4B45"/>
                <w:sz w:val="16"/>
                <w:szCs w:val="16"/>
              </w:rPr>
              <w:t>2022-2023</w:t>
            </w:r>
          </w:p>
        </w:tc>
        <w:tc>
          <w:tcPr>
            <w:tcW w:w="2088" w:type="dxa"/>
            <w:tcBorders>
              <w:top w:val="nil"/>
              <w:left w:val="nil"/>
              <w:bottom w:val="nil"/>
              <w:right w:val="nil"/>
            </w:tcBorders>
            <w:tcMar>
              <w:top w:w="0" w:type="dxa"/>
              <w:left w:w="108" w:type="dxa"/>
              <w:bottom w:w="0" w:type="dxa"/>
              <w:right w:w="108" w:type="dxa"/>
            </w:tcMar>
            <w:vAlign w:val="center"/>
            <w:hideMark/>
          </w:tcPr>
          <w:p w14:paraId="759A8982" w14:textId="77777777" w:rsidR="00E23FC0" w:rsidRDefault="00E23FC0">
            <w:pPr>
              <w:spacing w:after="0"/>
            </w:pPr>
            <w:r>
              <w:rPr>
                <w:color w:val="1B4B45"/>
                <w:sz w:val="16"/>
                <w:szCs w:val="16"/>
              </w:rPr>
              <w:t>Electrification and infrastructure</w:t>
            </w:r>
          </w:p>
        </w:tc>
        <w:tc>
          <w:tcPr>
            <w:tcW w:w="3672" w:type="dxa"/>
            <w:tcBorders>
              <w:top w:val="nil"/>
              <w:left w:val="nil"/>
              <w:bottom w:val="nil"/>
              <w:right w:val="nil"/>
            </w:tcBorders>
            <w:tcMar>
              <w:top w:w="0" w:type="dxa"/>
              <w:left w:w="108" w:type="dxa"/>
              <w:bottom w:w="0" w:type="dxa"/>
              <w:right w:w="108" w:type="dxa"/>
            </w:tcMar>
            <w:vAlign w:val="center"/>
            <w:hideMark/>
          </w:tcPr>
          <w:p w14:paraId="449A2442" w14:textId="77777777" w:rsidR="00E23FC0" w:rsidRDefault="00E23FC0">
            <w:pPr>
              <w:spacing w:after="0"/>
            </w:pPr>
            <w:r>
              <w:rPr>
                <w:color w:val="1B4B45"/>
                <w:sz w:val="16"/>
                <w:szCs w:val="16"/>
              </w:rPr>
              <w:t>EVs, reliability, hydrogen, carbon transport, thermal energy</w:t>
            </w:r>
          </w:p>
        </w:tc>
        <w:tc>
          <w:tcPr>
            <w:tcW w:w="3312" w:type="dxa"/>
            <w:tcBorders>
              <w:top w:val="nil"/>
              <w:left w:val="nil"/>
              <w:bottom w:val="nil"/>
              <w:right w:val="nil"/>
            </w:tcBorders>
            <w:tcMar>
              <w:top w:w="0" w:type="dxa"/>
              <w:left w:w="108" w:type="dxa"/>
              <w:bottom w:w="0" w:type="dxa"/>
              <w:right w:w="108" w:type="dxa"/>
            </w:tcMar>
            <w:vAlign w:val="center"/>
            <w:hideMark/>
          </w:tcPr>
          <w:p w14:paraId="686DBE55" w14:textId="77777777" w:rsidR="00E23FC0" w:rsidRDefault="00E23FC0">
            <w:pPr>
              <w:spacing w:after="0"/>
            </w:pPr>
            <w:r>
              <w:rPr>
                <w:color w:val="1B4B45"/>
                <w:sz w:val="16"/>
                <w:szCs w:val="16"/>
              </w:rPr>
              <w:t>Translate goals into assets, standards, and market rules</w:t>
            </w:r>
          </w:p>
        </w:tc>
      </w:tr>
      <w:tr w:rsidR="00E23FC0" w14:paraId="25882D80" w14:textId="77777777">
        <w:tc>
          <w:tcPr>
            <w:tcW w:w="1440" w:type="dxa"/>
            <w:tcBorders>
              <w:top w:val="nil"/>
              <w:left w:val="nil"/>
              <w:bottom w:val="nil"/>
              <w:right w:val="nil"/>
            </w:tcBorders>
            <w:shd w:val="clear" w:color="auto" w:fill="E6F2F0"/>
            <w:tcMar>
              <w:top w:w="0" w:type="dxa"/>
              <w:left w:w="108" w:type="dxa"/>
              <w:bottom w:w="0" w:type="dxa"/>
              <w:right w:w="108" w:type="dxa"/>
            </w:tcMar>
            <w:vAlign w:val="center"/>
            <w:hideMark/>
          </w:tcPr>
          <w:p w14:paraId="08610B67" w14:textId="77777777" w:rsidR="00E23FC0" w:rsidRDefault="00E23FC0">
            <w:pPr>
              <w:spacing w:after="0"/>
              <w:jc w:val="center"/>
            </w:pPr>
            <w:r>
              <w:rPr>
                <w:color w:val="1B4B45"/>
                <w:sz w:val="16"/>
                <w:szCs w:val="16"/>
              </w:rPr>
              <w:t>2024</w:t>
            </w:r>
          </w:p>
        </w:tc>
        <w:tc>
          <w:tcPr>
            <w:tcW w:w="2088" w:type="dxa"/>
            <w:tcBorders>
              <w:top w:val="nil"/>
              <w:left w:val="nil"/>
              <w:bottom w:val="nil"/>
              <w:right w:val="nil"/>
            </w:tcBorders>
            <w:shd w:val="clear" w:color="auto" w:fill="E6F2F0"/>
            <w:tcMar>
              <w:top w:w="0" w:type="dxa"/>
              <w:left w:w="108" w:type="dxa"/>
              <w:bottom w:w="0" w:type="dxa"/>
              <w:right w:w="108" w:type="dxa"/>
            </w:tcMar>
            <w:vAlign w:val="center"/>
            <w:hideMark/>
          </w:tcPr>
          <w:p w14:paraId="0DFF27F7" w14:textId="77777777" w:rsidR="00E23FC0" w:rsidRDefault="00E23FC0">
            <w:pPr>
              <w:spacing w:after="0"/>
            </w:pPr>
            <w:r>
              <w:rPr>
                <w:color w:val="1B4B45"/>
                <w:sz w:val="16"/>
                <w:szCs w:val="16"/>
              </w:rPr>
              <w:t>Grid buildout</w:t>
            </w:r>
          </w:p>
        </w:tc>
        <w:tc>
          <w:tcPr>
            <w:tcW w:w="3672" w:type="dxa"/>
            <w:tcBorders>
              <w:top w:val="nil"/>
              <w:left w:val="nil"/>
              <w:bottom w:val="nil"/>
              <w:right w:val="nil"/>
            </w:tcBorders>
            <w:shd w:val="clear" w:color="auto" w:fill="E6F2F0"/>
            <w:tcMar>
              <w:top w:w="0" w:type="dxa"/>
              <w:left w:w="108" w:type="dxa"/>
              <w:bottom w:w="0" w:type="dxa"/>
              <w:right w:w="108" w:type="dxa"/>
            </w:tcMar>
            <w:vAlign w:val="center"/>
            <w:hideMark/>
          </w:tcPr>
          <w:p w14:paraId="10ACF564" w14:textId="77777777" w:rsidR="00E23FC0" w:rsidRDefault="00E23FC0">
            <w:pPr>
              <w:spacing w:after="0"/>
            </w:pPr>
            <w:r>
              <w:rPr>
                <w:color w:val="1B4B45"/>
                <w:sz w:val="16"/>
                <w:szCs w:val="16"/>
              </w:rPr>
              <w:t>Transmission, storage, building decarbonization, climate and AI governance</w:t>
            </w:r>
          </w:p>
        </w:tc>
        <w:tc>
          <w:tcPr>
            <w:tcW w:w="3312" w:type="dxa"/>
            <w:tcBorders>
              <w:top w:val="nil"/>
              <w:left w:val="nil"/>
              <w:bottom w:val="nil"/>
              <w:right w:val="nil"/>
            </w:tcBorders>
            <w:shd w:val="clear" w:color="auto" w:fill="E6F2F0"/>
            <w:tcMar>
              <w:top w:w="0" w:type="dxa"/>
              <w:left w:w="108" w:type="dxa"/>
              <w:bottom w:w="0" w:type="dxa"/>
              <w:right w:w="108" w:type="dxa"/>
            </w:tcMar>
            <w:vAlign w:val="center"/>
            <w:hideMark/>
          </w:tcPr>
          <w:p w14:paraId="564EBBD1" w14:textId="77777777" w:rsidR="00E23FC0" w:rsidRDefault="00E23FC0">
            <w:pPr>
              <w:spacing w:after="0"/>
            </w:pPr>
            <w:r>
              <w:rPr>
                <w:color w:val="1B4B45"/>
                <w:sz w:val="16"/>
                <w:szCs w:val="16"/>
              </w:rPr>
              <w:t>Capacity, siting, ownership, and reliability become central</w:t>
            </w:r>
          </w:p>
        </w:tc>
      </w:tr>
      <w:tr w:rsidR="00E23FC0" w14:paraId="27606CF6" w14:textId="77777777">
        <w:tc>
          <w:tcPr>
            <w:tcW w:w="1440" w:type="dxa"/>
            <w:tcBorders>
              <w:top w:val="nil"/>
              <w:left w:val="nil"/>
              <w:bottom w:val="nil"/>
              <w:right w:val="nil"/>
            </w:tcBorders>
            <w:tcMar>
              <w:top w:w="0" w:type="dxa"/>
              <w:left w:w="108" w:type="dxa"/>
              <w:bottom w:w="0" w:type="dxa"/>
              <w:right w:w="108" w:type="dxa"/>
            </w:tcMar>
            <w:vAlign w:val="center"/>
            <w:hideMark/>
          </w:tcPr>
          <w:p w14:paraId="7446428A" w14:textId="77777777" w:rsidR="00E23FC0" w:rsidRDefault="00E23FC0">
            <w:pPr>
              <w:spacing w:after="0"/>
              <w:jc w:val="center"/>
            </w:pPr>
            <w:r>
              <w:rPr>
                <w:color w:val="1B4B45"/>
                <w:sz w:val="16"/>
                <w:szCs w:val="16"/>
              </w:rPr>
              <w:t>2025</w:t>
            </w:r>
          </w:p>
        </w:tc>
        <w:tc>
          <w:tcPr>
            <w:tcW w:w="2088" w:type="dxa"/>
            <w:tcBorders>
              <w:top w:val="nil"/>
              <w:left w:val="nil"/>
              <w:bottom w:val="nil"/>
              <w:right w:val="nil"/>
            </w:tcBorders>
            <w:tcMar>
              <w:top w:w="0" w:type="dxa"/>
              <w:left w:w="108" w:type="dxa"/>
              <w:bottom w:w="0" w:type="dxa"/>
              <w:right w:w="108" w:type="dxa"/>
            </w:tcMar>
            <w:vAlign w:val="center"/>
            <w:hideMark/>
          </w:tcPr>
          <w:p w14:paraId="4673AD6E" w14:textId="77777777" w:rsidR="00E23FC0" w:rsidRDefault="00E23FC0">
            <w:pPr>
              <w:spacing w:after="0"/>
            </w:pPr>
            <w:r>
              <w:rPr>
                <w:color w:val="1B4B45"/>
                <w:sz w:val="16"/>
                <w:szCs w:val="16"/>
              </w:rPr>
              <w:t>New demand and technology</w:t>
            </w:r>
          </w:p>
        </w:tc>
        <w:tc>
          <w:tcPr>
            <w:tcW w:w="3672" w:type="dxa"/>
            <w:tcBorders>
              <w:top w:val="nil"/>
              <w:left w:val="nil"/>
              <w:bottom w:val="nil"/>
              <w:right w:val="nil"/>
            </w:tcBorders>
            <w:tcMar>
              <w:top w:w="0" w:type="dxa"/>
              <w:left w:w="108" w:type="dxa"/>
              <w:bottom w:w="0" w:type="dxa"/>
              <w:right w:w="108" w:type="dxa"/>
            </w:tcMar>
            <w:vAlign w:val="center"/>
            <w:hideMark/>
          </w:tcPr>
          <w:p w14:paraId="5ED13431" w14:textId="77777777" w:rsidR="00E23FC0" w:rsidRDefault="00E23FC0">
            <w:pPr>
              <w:spacing w:after="0"/>
            </w:pPr>
            <w:r>
              <w:rPr>
                <w:color w:val="1B4B45"/>
                <w:sz w:val="16"/>
                <w:szCs w:val="16"/>
              </w:rPr>
              <w:t>Data centers, quantum, geothermal, utility data, transmission planning</w:t>
            </w:r>
          </w:p>
        </w:tc>
        <w:tc>
          <w:tcPr>
            <w:tcW w:w="3312" w:type="dxa"/>
            <w:tcBorders>
              <w:top w:val="nil"/>
              <w:left w:val="nil"/>
              <w:bottom w:val="nil"/>
              <w:right w:val="nil"/>
            </w:tcBorders>
            <w:tcMar>
              <w:top w:w="0" w:type="dxa"/>
              <w:left w:w="108" w:type="dxa"/>
              <w:bottom w:w="0" w:type="dxa"/>
              <w:right w:w="108" w:type="dxa"/>
            </w:tcMar>
            <w:vAlign w:val="center"/>
            <w:hideMark/>
          </w:tcPr>
          <w:p w14:paraId="1ACC36D6" w14:textId="77777777" w:rsidR="00E23FC0" w:rsidRDefault="00E23FC0">
            <w:pPr>
              <w:spacing w:after="0"/>
            </w:pPr>
            <w:r>
              <w:rPr>
                <w:color w:val="1B4B45"/>
                <w:sz w:val="16"/>
                <w:szCs w:val="16"/>
              </w:rPr>
              <w:t>Prepare for concentrated load and new customer classes</w:t>
            </w:r>
          </w:p>
        </w:tc>
      </w:tr>
      <w:tr w:rsidR="00E23FC0" w14:paraId="0672E9C4" w14:textId="77777777">
        <w:tc>
          <w:tcPr>
            <w:tcW w:w="144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3940DC34" w14:textId="77777777" w:rsidR="00E23FC0" w:rsidRDefault="00E23FC0">
            <w:pPr>
              <w:spacing w:after="0"/>
              <w:jc w:val="center"/>
            </w:pPr>
            <w:r>
              <w:rPr>
                <w:color w:val="1B4B45"/>
                <w:sz w:val="16"/>
                <w:szCs w:val="16"/>
              </w:rPr>
              <w:t>2026</w:t>
            </w:r>
          </w:p>
        </w:tc>
        <w:tc>
          <w:tcPr>
            <w:tcW w:w="2088"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084C91A2" w14:textId="77777777" w:rsidR="00E23FC0" w:rsidRDefault="00E23FC0">
            <w:pPr>
              <w:spacing w:after="0"/>
            </w:pPr>
            <w:r>
              <w:rPr>
                <w:color w:val="1B4B45"/>
                <w:sz w:val="16"/>
                <w:szCs w:val="16"/>
              </w:rPr>
              <w:t>Affordability and load management</w:t>
            </w:r>
          </w:p>
        </w:tc>
        <w:tc>
          <w:tcPr>
            <w:tcW w:w="3672"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7C7BA60D" w14:textId="77777777" w:rsidR="00E23FC0" w:rsidRDefault="00E23FC0">
            <w:pPr>
              <w:spacing w:after="0"/>
            </w:pPr>
            <w:r>
              <w:rPr>
                <w:color w:val="1B4B45"/>
                <w:sz w:val="16"/>
                <w:szCs w:val="16"/>
              </w:rPr>
              <w:t>Cost recovery, low-income rates, large-load standards, siting and interconnection</w:t>
            </w:r>
          </w:p>
        </w:tc>
        <w:tc>
          <w:tcPr>
            <w:tcW w:w="3312"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2E9E3563" w14:textId="77777777" w:rsidR="00E23FC0" w:rsidRDefault="00E23FC0">
            <w:pPr>
              <w:spacing w:after="0"/>
            </w:pPr>
            <w:r>
              <w:rPr>
                <w:color w:val="1B4B45"/>
                <w:sz w:val="16"/>
                <w:szCs w:val="16"/>
              </w:rPr>
              <w:t>Prove growth is reliable, financeable, and fair</w:t>
            </w:r>
          </w:p>
        </w:tc>
      </w:tr>
    </w:tbl>
    <w:p w14:paraId="41C8F396" w14:textId="77777777" w:rsidR="003C0548" w:rsidRDefault="006F72DF">
      <w:pPr>
        <w:jc w:val="center"/>
      </w:pPr>
      <w:r>
        <w:rPr>
          <w:noProof/>
        </w:rPr>
        <w:lastRenderedPageBreak/>
        <w:drawing>
          <wp:inline distT="0" distB="0" distL="0" distR="0" wp14:anchorId="65FC210A" wp14:editId="07777777">
            <wp:extent cx="6400800" cy="3310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_trajectories.png"/>
                    <pic:cNvPicPr/>
                  </pic:nvPicPr>
                  <pic:blipFill>
                    <a:blip r:embed="rId9"/>
                    <a:stretch>
                      <a:fillRect/>
                    </a:stretch>
                  </pic:blipFill>
                  <pic:spPr>
                    <a:xfrm>
                      <a:off x="0" y="0"/>
                      <a:ext cx="6400800" cy="3310911"/>
                    </a:xfrm>
                    <a:prstGeom prst="rect">
                      <a:avLst/>
                    </a:prstGeom>
                  </pic:spPr>
                </pic:pic>
              </a:graphicData>
            </a:graphic>
          </wp:inline>
        </w:drawing>
      </w:r>
    </w:p>
    <w:p w14:paraId="77C82F84" w14:textId="77777777" w:rsidR="003C0548" w:rsidRDefault="006F72DF">
      <w:pPr>
        <w:pStyle w:val="SourceNote"/>
      </w:pPr>
      <w:r>
        <w:t>Internal source: refined issue taxonomy in 2026 Bill Trends Report 2.xlsx. Each bill is assigned one primary strategic issue to avoid double counting.</w:t>
      </w:r>
    </w:p>
    <w:p w14:paraId="42A0E58E" w14:textId="77777777" w:rsidR="00E23FC0" w:rsidRDefault="00E23FC0" w:rsidP="00E23FC0">
      <w:pPr>
        <w:pStyle w:val="Heading2"/>
        <w:rPr>
          <w:color w:val="2F8577"/>
          <w:kern w:val="2"/>
          <w:szCs w:val="25"/>
          <w14:ligatures w14:val="standardContextual"/>
        </w:rPr>
      </w:pPr>
      <w:r>
        <w:rPr>
          <w:color w:val="2F8577"/>
        </w:rPr>
        <w:t>The structural shift</w:t>
      </w:r>
    </w:p>
    <w:p w14:paraId="724B6D17" w14:textId="77777777" w:rsidR="003C0548" w:rsidRDefault="006F72DF">
      <w:r>
        <w:t>Early-year policy concentrated on program creation and social license. By 2024, legislative attention moved into transmission, storage, codes, and implementation. By 2025-2026, demand growth and customer economics joined deployment as core political questions. This is a transition from policy aspiration to system governance.</w:t>
      </w:r>
    </w:p>
    <w:p w14:paraId="24A32347" w14:textId="77777777" w:rsidR="00E23FC0" w:rsidRDefault="00E23FC0" w:rsidP="00E23FC0">
      <w:pPr>
        <w:pStyle w:val="Heading1"/>
        <w:rPr>
          <w:color w:val="1B4B45"/>
          <w:kern w:val="36"/>
          <w:szCs w:val="34"/>
          <w14:ligatures w14:val="standardContextual"/>
        </w:rPr>
      </w:pPr>
      <w:r>
        <w:rPr>
          <w:color w:val="1B4B45"/>
        </w:rPr>
        <w:t>3. 2026 Issue Map and Key Risks</w:t>
      </w:r>
    </w:p>
    <w:p w14:paraId="72A3D3EC" w14:textId="77777777" w:rsidR="003C0548" w:rsidRDefault="006F72DF">
      <w:pPr>
        <w:jc w:val="center"/>
      </w:pPr>
      <w:r>
        <w:rPr>
          <w:noProof/>
        </w:rPr>
        <w:drawing>
          <wp:inline distT="0" distB="0" distL="0" distR="0" wp14:anchorId="194F7A63" wp14:editId="07777777">
            <wp:extent cx="6400800" cy="3308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issues.png"/>
                    <pic:cNvPicPr/>
                  </pic:nvPicPr>
                  <pic:blipFill>
                    <a:blip r:embed="rId10"/>
                    <a:stretch>
                      <a:fillRect/>
                    </a:stretch>
                  </pic:blipFill>
                  <pic:spPr>
                    <a:xfrm>
                      <a:off x="0" y="0"/>
                      <a:ext cx="6400800" cy="3308626"/>
                    </a:xfrm>
                    <a:prstGeom prst="rect">
                      <a:avLst/>
                    </a:prstGeom>
                  </pic:spPr>
                </pic:pic>
              </a:graphicData>
            </a:graphic>
          </wp:inline>
        </w:drawing>
      </w:r>
    </w:p>
    <w:tbl>
      <w:tblPr>
        <w:tblW w:w="0" w:type="auto"/>
        <w:tblCellMar>
          <w:left w:w="0" w:type="dxa"/>
          <w:right w:w="0" w:type="dxa"/>
        </w:tblCellMar>
        <w:tblLook w:val="04A0" w:firstRow="1" w:lastRow="0" w:firstColumn="1" w:lastColumn="0" w:noHBand="0" w:noVBand="1"/>
      </w:tblPr>
      <w:tblGrid>
        <w:gridCol w:w="2376"/>
        <w:gridCol w:w="648"/>
        <w:gridCol w:w="648"/>
        <w:gridCol w:w="1081"/>
        <w:gridCol w:w="5328"/>
      </w:tblGrid>
      <w:tr w:rsidR="00FD0B70" w14:paraId="426DFF13" w14:textId="77777777">
        <w:tc>
          <w:tcPr>
            <w:tcW w:w="2376"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C4F6405" w14:textId="77777777" w:rsidR="00FD0B70" w:rsidRDefault="00FD0B70">
            <w:pPr>
              <w:spacing w:after="0"/>
              <w:jc w:val="center"/>
              <w:rPr>
                <w:kern w:val="2"/>
                <w:szCs w:val="19"/>
                <w14:ligatures w14:val="standardContextual"/>
              </w:rPr>
            </w:pPr>
            <w:r>
              <w:rPr>
                <w:b/>
                <w:bCs/>
                <w:color w:val="FFFFFF"/>
                <w:sz w:val="15"/>
                <w:szCs w:val="15"/>
              </w:rPr>
              <w:t>Refined issue</w:t>
            </w:r>
          </w:p>
        </w:tc>
        <w:tc>
          <w:tcPr>
            <w:tcW w:w="64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CBCC57E" w14:textId="77777777" w:rsidR="00FD0B70" w:rsidRDefault="00FD0B70">
            <w:pPr>
              <w:spacing w:after="0"/>
              <w:jc w:val="center"/>
            </w:pPr>
            <w:r>
              <w:rPr>
                <w:b/>
                <w:bCs/>
                <w:color w:val="FFFFFF"/>
                <w:sz w:val="15"/>
                <w:szCs w:val="15"/>
              </w:rPr>
              <w:t>2026</w:t>
            </w:r>
          </w:p>
        </w:tc>
        <w:tc>
          <w:tcPr>
            <w:tcW w:w="64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0F15D05" w14:textId="77777777" w:rsidR="00FD0B70" w:rsidRDefault="00FD0B70">
            <w:pPr>
              <w:spacing w:after="0"/>
              <w:jc w:val="center"/>
            </w:pPr>
            <w:r>
              <w:rPr>
                <w:b/>
                <w:bCs/>
                <w:color w:val="FFFFFF"/>
                <w:sz w:val="15"/>
                <w:szCs w:val="15"/>
              </w:rPr>
              <w:t>YoY</w:t>
            </w:r>
          </w:p>
        </w:tc>
        <w:tc>
          <w:tcPr>
            <w:tcW w:w="108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68A7862" w14:textId="77777777" w:rsidR="00FD0B70" w:rsidRDefault="00FD0B70">
            <w:pPr>
              <w:spacing w:after="0"/>
              <w:jc w:val="center"/>
            </w:pPr>
            <w:r>
              <w:rPr>
                <w:b/>
                <w:bCs/>
                <w:color w:val="FFFFFF"/>
                <w:sz w:val="15"/>
                <w:szCs w:val="15"/>
              </w:rPr>
              <w:t>Signal</w:t>
            </w:r>
          </w:p>
        </w:tc>
        <w:tc>
          <w:tcPr>
            <w:tcW w:w="532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19393334" w14:textId="77777777" w:rsidR="00FD0B70" w:rsidRDefault="00FD0B70">
            <w:pPr>
              <w:spacing w:after="0"/>
              <w:jc w:val="center"/>
            </w:pPr>
            <w:r>
              <w:rPr>
                <w:b/>
                <w:bCs/>
                <w:color w:val="FFFFFF"/>
                <w:sz w:val="15"/>
                <w:szCs w:val="15"/>
              </w:rPr>
              <w:t>Executive lens</w:t>
            </w:r>
          </w:p>
        </w:tc>
      </w:tr>
      <w:tr w:rsidR="00FD0B70" w14:paraId="5BF4E173"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10DF43B0" w14:textId="77777777" w:rsidR="00FD0B70" w:rsidRDefault="00FD0B70">
            <w:pPr>
              <w:spacing w:after="0"/>
              <w:jc w:val="center"/>
            </w:pPr>
            <w:r>
              <w:rPr>
                <w:color w:val="1B4B45"/>
                <w:sz w:val="15"/>
                <w:szCs w:val="15"/>
              </w:rPr>
              <w:t>Clean Energy Deployment</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60346ADC" w14:textId="77777777" w:rsidR="00FD0B70" w:rsidRDefault="00FD0B70">
            <w:pPr>
              <w:spacing w:after="0"/>
            </w:pPr>
            <w:r>
              <w:rPr>
                <w:color w:val="1B4B45"/>
                <w:sz w:val="15"/>
                <w:szCs w:val="15"/>
              </w:rPr>
              <w:t>24</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55F47567" w14:textId="77777777" w:rsidR="00FD0B70" w:rsidRDefault="00FD0B70">
            <w:pPr>
              <w:spacing w:after="0"/>
            </w:pPr>
            <w:r>
              <w:rPr>
                <w:color w:val="1B4B45"/>
                <w:sz w:val="15"/>
                <w:szCs w:val="15"/>
              </w:rPr>
              <w:t>+5</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1E48D772"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6B7E00E2" w14:textId="77777777" w:rsidR="00FD0B70" w:rsidRDefault="00FD0B70">
            <w:pPr>
              <w:spacing w:after="0"/>
            </w:pPr>
            <w:r>
              <w:rPr>
                <w:color w:val="1B4B45"/>
                <w:sz w:val="15"/>
                <w:szCs w:val="15"/>
              </w:rPr>
              <w:t>Permitting, procurement, domestic content, local control, end-of-life rules</w:t>
            </w:r>
          </w:p>
        </w:tc>
      </w:tr>
      <w:tr w:rsidR="00FD0B70" w14:paraId="3BAFE742" w14:textId="77777777">
        <w:tc>
          <w:tcPr>
            <w:tcW w:w="2376" w:type="dxa"/>
            <w:tcBorders>
              <w:top w:val="nil"/>
              <w:left w:val="nil"/>
              <w:bottom w:val="nil"/>
              <w:right w:val="nil"/>
            </w:tcBorders>
            <w:tcMar>
              <w:top w:w="0" w:type="dxa"/>
              <w:left w:w="108" w:type="dxa"/>
              <w:bottom w:w="0" w:type="dxa"/>
              <w:right w:w="108" w:type="dxa"/>
            </w:tcMar>
            <w:vAlign w:val="center"/>
            <w:hideMark/>
          </w:tcPr>
          <w:p w14:paraId="5C79E2A6" w14:textId="77777777" w:rsidR="00FD0B70" w:rsidRDefault="00FD0B70">
            <w:pPr>
              <w:spacing w:after="0"/>
              <w:jc w:val="center"/>
            </w:pPr>
            <w:r>
              <w:rPr>
                <w:color w:val="1B4B45"/>
                <w:sz w:val="15"/>
                <w:szCs w:val="15"/>
              </w:rPr>
              <w:lastRenderedPageBreak/>
              <w:t>Utility Operations &amp; Governance</w:t>
            </w:r>
          </w:p>
        </w:tc>
        <w:tc>
          <w:tcPr>
            <w:tcW w:w="648" w:type="dxa"/>
            <w:tcBorders>
              <w:top w:val="nil"/>
              <w:left w:val="nil"/>
              <w:bottom w:val="nil"/>
              <w:right w:val="nil"/>
            </w:tcBorders>
            <w:tcMar>
              <w:top w:w="0" w:type="dxa"/>
              <w:left w:w="108" w:type="dxa"/>
              <w:bottom w:w="0" w:type="dxa"/>
              <w:right w:w="108" w:type="dxa"/>
            </w:tcMar>
            <w:vAlign w:val="center"/>
            <w:hideMark/>
          </w:tcPr>
          <w:p w14:paraId="4AF8ED65" w14:textId="77777777" w:rsidR="00FD0B70" w:rsidRDefault="00FD0B70">
            <w:pPr>
              <w:spacing w:after="0"/>
            </w:pPr>
            <w:r>
              <w:rPr>
                <w:color w:val="1B4B45"/>
                <w:sz w:val="15"/>
                <w:szCs w:val="15"/>
              </w:rPr>
              <w:t>17</w:t>
            </w:r>
          </w:p>
        </w:tc>
        <w:tc>
          <w:tcPr>
            <w:tcW w:w="648" w:type="dxa"/>
            <w:tcBorders>
              <w:top w:val="nil"/>
              <w:left w:val="nil"/>
              <w:bottom w:val="nil"/>
              <w:right w:val="nil"/>
            </w:tcBorders>
            <w:tcMar>
              <w:top w:w="0" w:type="dxa"/>
              <w:left w:w="108" w:type="dxa"/>
              <w:bottom w:w="0" w:type="dxa"/>
              <w:right w:w="108" w:type="dxa"/>
            </w:tcMar>
            <w:vAlign w:val="center"/>
            <w:hideMark/>
          </w:tcPr>
          <w:p w14:paraId="4AB81588" w14:textId="77777777" w:rsidR="00FD0B70" w:rsidRDefault="00FD0B70">
            <w:pPr>
              <w:spacing w:after="0"/>
            </w:pPr>
            <w:r>
              <w:rPr>
                <w:color w:val="1B4B45"/>
                <w:sz w:val="15"/>
                <w:szCs w:val="15"/>
              </w:rPr>
              <w:t>+6</w:t>
            </w:r>
          </w:p>
        </w:tc>
        <w:tc>
          <w:tcPr>
            <w:tcW w:w="1080" w:type="dxa"/>
            <w:tcBorders>
              <w:top w:val="nil"/>
              <w:left w:val="nil"/>
              <w:bottom w:val="nil"/>
              <w:right w:val="nil"/>
            </w:tcBorders>
            <w:tcMar>
              <w:top w:w="0" w:type="dxa"/>
              <w:left w:w="108" w:type="dxa"/>
              <w:bottom w:w="0" w:type="dxa"/>
              <w:right w:w="108" w:type="dxa"/>
            </w:tcMar>
            <w:vAlign w:val="center"/>
            <w:hideMark/>
          </w:tcPr>
          <w:p w14:paraId="131ED415"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tcMar>
              <w:top w:w="0" w:type="dxa"/>
              <w:left w:w="108" w:type="dxa"/>
              <w:bottom w:w="0" w:type="dxa"/>
              <w:right w:w="108" w:type="dxa"/>
            </w:tcMar>
            <w:vAlign w:val="center"/>
            <w:hideMark/>
          </w:tcPr>
          <w:p w14:paraId="20BADCA8" w14:textId="77777777" w:rsidR="00FD0B70" w:rsidRDefault="00FD0B70">
            <w:pPr>
              <w:spacing w:after="0"/>
            </w:pPr>
            <w:r>
              <w:rPr>
                <w:color w:val="1B4B45"/>
                <w:sz w:val="15"/>
                <w:szCs w:val="15"/>
              </w:rPr>
              <w:t>ICC authority, transparency, RTO activity, property and operating rules</w:t>
            </w:r>
          </w:p>
        </w:tc>
      </w:tr>
      <w:tr w:rsidR="00FD0B70" w14:paraId="51A19815"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66479ABA" w14:textId="77777777" w:rsidR="00FD0B70" w:rsidRDefault="00FD0B70">
            <w:pPr>
              <w:spacing w:after="0"/>
              <w:jc w:val="center"/>
            </w:pPr>
            <w:r>
              <w:rPr>
                <w:color w:val="1B4B45"/>
                <w:sz w:val="15"/>
                <w:szCs w:val="15"/>
              </w:rPr>
              <w:t>Decarbonization, Emissions &amp; Climate</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6407C3E9" w14:textId="77777777" w:rsidR="00FD0B70" w:rsidRDefault="00FD0B70">
            <w:pPr>
              <w:spacing w:after="0"/>
            </w:pPr>
            <w:r>
              <w:rPr>
                <w:color w:val="1B4B45"/>
                <w:sz w:val="15"/>
                <w:szCs w:val="15"/>
              </w:rPr>
              <w:t>12</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18F3A288" w14:textId="77777777" w:rsidR="00FD0B70" w:rsidRDefault="00FD0B70">
            <w:pPr>
              <w:spacing w:after="0"/>
            </w:pPr>
            <w:r>
              <w:rPr>
                <w:color w:val="1B4B45"/>
                <w:sz w:val="15"/>
                <w:szCs w:val="15"/>
              </w:rPr>
              <w:t>+9</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55AEE990"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32430EF5" w14:textId="77777777" w:rsidR="00FD0B70" w:rsidRDefault="00FD0B70">
            <w:pPr>
              <w:spacing w:after="0"/>
            </w:pPr>
            <w:r>
              <w:rPr>
                <w:color w:val="1B4B45"/>
                <w:sz w:val="15"/>
                <w:szCs w:val="15"/>
              </w:rPr>
              <w:t>GHG limits, federal backstops, climate liability, deadline flexibility</w:t>
            </w:r>
          </w:p>
        </w:tc>
      </w:tr>
      <w:tr w:rsidR="00FD0B70" w14:paraId="136BF4EA" w14:textId="77777777">
        <w:tc>
          <w:tcPr>
            <w:tcW w:w="2376" w:type="dxa"/>
            <w:tcBorders>
              <w:top w:val="nil"/>
              <w:left w:val="nil"/>
              <w:bottom w:val="nil"/>
              <w:right w:val="nil"/>
            </w:tcBorders>
            <w:tcMar>
              <w:top w:w="0" w:type="dxa"/>
              <w:left w:w="108" w:type="dxa"/>
              <w:bottom w:w="0" w:type="dxa"/>
              <w:right w:w="108" w:type="dxa"/>
            </w:tcMar>
            <w:vAlign w:val="center"/>
            <w:hideMark/>
          </w:tcPr>
          <w:p w14:paraId="3F54379E" w14:textId="77777777" w:rsidR="00FD0B70" w:rsidRDefault="00FD0B70">
            <w:pPr>
              <w:spacing w:after="0"/>
              <w:jc w:val="center"/>
            </w:pPr>
            <w:r>
              <w:rPr>
                <w:color w:val="1B4B45"/>
                <w:sz w:val="15"/>
                <w:szCs w:val="15"/>
              </w:rPr>
              <w:t>Cybersecurity, Privacy &amp; AI</w:t>
            </w:r>
          </w:p>
        </w:tc>
        <w:tc>
          <w:tcPr>
            <w:tcW w:w="648" w:type="dxa"/>
            <w:tcBorders>
              <w:top w:val="nil"/>
              <w:left w:val="nil"/>
              <w:bottom w:val="nil"/>
              <w:right w:val="nil"/>
            </w:tcBorders>
            <w:tcMar>
              <w:top w:w="0" w:type="dxa"/>
              <w:left w:w="108" w:type="dxa"/>
              <w:bottom w:w="0" w:type="dxa"/>
              <w:right w:w="108" w:type="dxa"/>
            </w:tcMar>
            <w:vAlign w:val="center"/>
            <w:hideMark/>
          </w:tcPr>
          <w:p w14:paraId="1CE68802" w14:textId="77777777" w:rsidR="00FD0B70" w:rsidRDefault="00FD0B70">
            <w:pPr>
              <w:spacing w:after="0"/>
            </w:pPr>
            <w:r>
              <w:rPr>
                <w:color w:val="1B4B45"/>
                <w:sz w:val="15"/>
                <w:szCs w:val="15"/>
              </w:rPr>
              <w:t>12</w:t>
            </w:r>
          </w:p>
        </w:tc>
        <w:tc>
          <w:tcPr>
            <w:tcW w:w="648" w:type="dxa"/>
            <w:tcBorders>
              <w:top w:val="nil"/>
              <w:left w:val="nil"/>
              <w:bottom w:val="nil"/>
              <w:right w:val="nil"/>
            </w:tcBorders>
            <w:tcMar>
              <w:top w:w="0" w:type="dxa"/>
              <w:left w:w="108" w:type="dxa"/>
              <w:bottom w:w="0" w:type="dxa"/>
              <w:right w:w="108" w:type="dxa"/>
            </w:tcMar>
            <w:vAlign w:val="center"/>
            <w:hideMark/>
          </w:tcPr>
          <w:p w14:paraId="52FC85E0" w14:textId="77777777" w:rsidR="00FD0B70" w:rsidRDefault="00FD0B70">
            <w:pPr>
              <w:spacing w:after="0"/>
            </w:pPr>
            <w:r>
              <w:rPr>
                <w:color w:val="1B4B45"/>
                <w:sz w:val="15"/>
                <w:szCs w:val="15"/>
              </w:rPr>
              <w:t>+6</w:t>
            </w:r>
          </w:p>
        </w:tc>
        <w:tc>
          <w:tcPr>
            <w:tcW w:w="1080" w:type="dxa"/>
            <w:tcBorders>
              <w:top w:val="nil"/>
              <w:left w:val="nil"/>
              <w:bottom w:val="nil"/>
              <w:right w:val="nil"/>
            </w:tcBorders>
            <w:tcMar>
              <w:top w:w="0" w:type="dxa"/>
              <w:left w:w="108" w:type="dxa"/>
              <w:bottom w:w="0" w:type="dxa"/>
              <w:right w:w="108" w:type="dxa"/>
            </w:tcMar>
            <w:vAlign w:val="center"/>
            <w:hideMark/>
          </w:tcPr>
          <w:p w14:paraId="3CA8B15A"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tcMar>
              <w:top w:w="0" w:type="dxa"/>
              <w:left w:w="108" w:type="dxa"/>
              <w:bottom w:w="0" w:type="dxa"/>
              <w:right w:w="108" w:type="dxa"/>
            </w:tcMar>
            <w:vAlign w:val="center"/>
            <w:hideMark/>
          </w:tcPr>
          <w:p w14:paraId="2EA88E68" w14:textId="77777777" w:rsidR="00FD0B70" w:rsidRDefault="00FD0B70">
            <w:pPr>
              <w:spacing w:after="0"/>
            </w:pPr>
            <w:r>
              <w:rPr>
                <w:color w:val="1B4B45"/>
                <w:sz w:val="15"/>
                <w:szCs w:val="15"/>
              </w:rPr>
              <w:t>Customer data, OT security, AI disclosures, biometric and drone rules</w:t>
            </w:r>
          </w:p>
        </w:tc>
      </w:tr>
      <w:tr w:rsidR="00FD0B70" w14:paraId="3E786254"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2F9F7346" w14:textId="77777777" w:rsidR="00FD0B70" w:rsidRDefault="00FD0B70">
            <w:pPr>
              <w:spacing w:after="0"/>
              <w:jc w:val="center"/>
            </w:pPr>
            <w:r>
              <w:rPr>
                <w:color w:val="1B4B45"/>
                <w:sz w:val="15"/>
                <w:szCs w:val="15"/>
              </w:rPr>
              <w:t>Utility Rates, Affordability &amp; Cost Recovery</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13161C19" w14:textId="77777777" w:rsidR="00FD0B70" w:rsidRDefault="00FD0B70">
            <w:pPr>
              <w:spacing w:after="0"/>
            </w:pPr>
            <w:r>
              <w:rPr>
                <w:color w:val="1B4B45"/>
                <w:sz w:val="15"/>
                <w:szCs w:val="15"/>
              </w:rPr>
              <w:t>11</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5240B27D" w14:textId="77777777" w:rsidR="00FD0B70" w:rsidRDefault="00FD0B70">
            <w:pPr>
              <w:spacing w:after="0"/>
            </w:pPr>
            <w:r>
              <w:rPr>
                <w:color w:val="1B4B45"/>
                <w:sz w:val="15"/>
                <w:szCs w:val="15"/>
              </w:rPr>
              <w:t>+6</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170C4339"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4C7BA511" w14:textId="77777777" w:rsidR="00FD0B70" w:rsidRDefault="00FD0B70">
            <w:pPr>
              <w:spacing w:after="0"/>
            </w:pPr>
            <w:r>
              <w:rPr>
                <w:color w:val="1B4B45"/>
                <w:sz w:val="15"/>
                <w:szCs w:val="15"/>
              </w:rPr>
              <w:t>Rate caps, low-income rates, freezes, hearings and recovery limits</w:t>
            </w:r>
          </w:p>
        </w:tc>
      </w:tr>
      <w:tr w:rsidR="00FD0B70" w14:paraId="0A9DDEB4" w14:textId="77777777">
        <w:tc>
          <w:tcPr>
            <w:tcW w:w="2376" w:type="dxa"/>
            <w:tcBorders>
              <w:top w:val="nil"/>
              <w:left w:val="nil"/>
              <w:bottom w:val="nil"/>
              <w:right w:val="nil"/>
            </w:tcBorders>
            <w:tcMar>
              <w:top w:w="0" w:type="dxa"/>
              <w:left w:w="108" w:type="dxa"/>
              <w:bottom w:w="0" w:type="dxa"/>
              <w:right w:w="108" w:type="dxa"/>
            </w:tcMar>
            <w:vAlign w:val="center"/>
            <w:hideMark/>
          </w:tcPr>
          <w:p w14:paraId="2B611299" w14:textId="77777777" w:rsidR="00FD0B70" w:rsidRDefault="00FD0B70">
            <w:pPr>
              <w:spacing w:after="0"/>
              <w:jc w:val="center"/>
            </w:pPr>
            <w:r>
              <w:rPr>
                <w:color w:val="1B4B45"/>
                <w:sz w:val="15"/>
                <w:szCs w:val="15"/>
              </w:rPr>
              <w:t>Environmental Justice, Land &amp; Water</w:t>
            </w:r>
          </w:p>
        </w:tc>
        <w:tc>
          <w:tcPr>
            <w:tcW w:w="648" w:type="dxa"/>
            <w:tcBorders>
              <w:top w:val="nil"/>
              <w:left w:val="nil"/>
              <w:bottom w:val="nil"/>
              <w:right w:val="nil"/>
            </w:tcBorders>
            <w:tcMar>
              <w:top w:w="0" w:type="dxa"/>
              <w:left w:w="108" w:type="dxa"/>
              <w:bottom w:w="0" w:type="dxa"/>
              <w:right w:w="108" w:type="dxa"/>
            </w:tcMar>
            <w:vAlign w:val="center"/>
            <w:hideMark/>
          </w:tcPr>
          <w:p w14:paraId="46134881" w14:textId="77777777" w:rsidR="00FD0B70" w:rsidRDefault="00FD0B70">
            <w:pPr>
              <w:spacing w:after="0"/>
            </w:pPr>
            <w:r>
              <w:rPr>
                <w:color w:val="1B4B45"/>
                <w:sz w:val="15"/>
                <w:szCs w:val="15"/>
              </w:rPr>
              <w:t>10</w:t>
            </w:r>
          </w:p>
        </w:tc>
        <w:tc>
          <w:tcPr>
            <w:tcW w:w="648" w:type="dxa"/>
            <w:tcBorders>
              <w:top w:val="nil"/>
              <w:left w:val="nil"/>
              <w:bottom w:val="nil"/>
              <w:right w:val="nil"/>
            </w:tcBorders>
            <w:tcMar>
              <w:top w:w="0" w:type="dxa"/>
              <w:left w:w="108" w:type="dxa"/>
              <w:bottom w:w="0" w:type="dxa"/>
              <w:right w:w="108" w:type="dxa"/>
            </w:tcMar>
            <w:vAlign w:val="center"/>
            <w:hideMark/>
          </w:tcPr>
          <w:p w14:paraId="6CD15D4B" w14:textId="77777777" w:rsidR="00FD0B70" w:rsidRDefault="00FD0B70">
            <w:pPr>
              <w:spacing w:after="0"/>
            </w:pPr>
            <w:r>
              <w:rPr>
                <w:color w:val="1B4B45"/>
                <w:sz w:val="15"/>
                <w:szCs w:val="15"/>
              </w:rPr>
              <w:t>+2</w:t>
            </w:r>
          </w:p>
        </w:tc>
        <w:tc>
          <w:tcPr>
            <w:tcW w:w="1080" w:type="dxa"/>
            <w:tcBorders>
              <w:top w:val="nil"/>
              <w:left w:val="nil"/>
              <w:bottom w:val="nil"/>
              <w:right w:val="nil"/>
            </w:tcBorders>
            <w:tcMar>
              <w:top w:w="0" w:type="dxa"/>
              <w:left w:w="108" w:type="dxa"/>
              <w:bottom w:w="0" w:type="dxa"/>
              <w:right w:w="108" w:type="dxa"/>
            </w:tcMar>
            <w:vAlign w:val="center"/>
            <w:hideMark/>
          </w:tcPr>
          <w:p w14:paraId="36F4FDAF" w14:textId="77777777" w:rsidR="00FD0B70" w:rsidRDefault="00FD0B70">
            <w:pPr>
              <w:spacing w:after="0"/>
            </w:pPr>
            <w:r>
              <w:rPr>
                <w:color w:val="8A6D00"/>
                <w:sz w:val="15"/>
                <w:szCs w:val="15"/>
              </w:rPr>
              <w:t>Rising</w:t>
            </w:r>
          </w:p>
        </w:tc>
        <w:tc>
          <w:tcPr>
            <w:tcW w:w="5328" w:type="dxa"/>
            <w:tcBorders>
              <w:top w:val="nil"/>
              <w:left w:val="nil"/>
              <w:bottom w:val="nil"/>
              <w:right w:val="nil"/>
            </w:tcBorders>
            <w:tcMar>
              <w:top w:w="0" w:type="dxa"/>
              <w:left w:w="108" w:type="dxa"/>
              <w:bottom w:w="0" w:type="dxa"/>
              <w:right w:w="108" w:type="dxa"/>
            </w:tcMar>
            <w:vAlign w:val="center"/>
            <w:hideMark/>
          </w:tcPr>
          <w:p w14:paraId="6FB4EABA" w14:textId="77777777" w:rsidR="00FD0B70" w:rsidRDefault="00FD0B70">
            <w:pPr>
              <w:spacing w:after="0"/>
            </w:pPr>
            <w:r>
              <w:rPr>
                <w:color w:val="1B4B45"/>
                <w:sz w:val="15"/>
                <w:szCs w:val="15"/>
              </w:rPr>
              <w:t>Wetlands, setbacks, cumulative impact and CCR management</w:t>
            </w:r>
          </w:p>
        </w:tc>
      </w:tr>
      <w:tr w:rsidR="00FD0B70" w14:paraId="6B06B422"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6575600D" w14:textId="77777777" w:rsidR="00FD0B70" w:rsidRDefault="00FD0B70">
            <w:pPr>
              <w:spacing w:after="0"/>
              <w:jc w:val="center"/>
            </w:pPr>
            <w:r>
              <w:rPr>
                <w:color w:val="1B4B45"/>
                <w:sz w:val="15"/>
                <w:szCs w:val="15"/>
              </w:rPr>
              <w:t>Legislative Vehicles &amp; Technical Measures</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62F2C98F" w14:textId="77777777" w:rsidR="00FD0B70" w:rsidRDefault="00FD0B70">
            <w:pPr>
              <w:spacing w:after="0"/>
            </w:pPr>
            <w:r>
              <w:rPr>
                <w:color w:val="1B4B45"/>
                <w:sz w:val="15"/>
                <w:szCs w:val="15"/>
              </w:rPr>
              <w:t>10</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172B4FF0" w14:textId="77777777" w:rsidR="00FD0B70" w:rsidRDefault="00FD0B70">
            <w:pPr>
              <w:spacing w:after="0"/>
            </w:pPr>
            <w:r>
              <w:rPr>
                <w:color w:val="1B4B45"/>
                <w:sz w:val="15"/>
                <w:szCs w:val="15"/>
              </w:rPr>
              <w:t>+4</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73A66D9F"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52C858E2" w14:textId="77777777" w:rsidR="00FD0B70" w:rsidRDefault="00FD0B70">
            <w:pPr>
              <w:spacing w:after="0"/>
            </w:pPr>
            <w:r>
              <w:rPr>
                <w:color w:val="1B4B45"/>
                <w:sz w:val="15"/>
                <w:szCs w:val="15"/>
              </w:rPr>
              <w:t>Monitor for substantive amendments and omnibus use</w:t>
            </w:r>
          </w:p>
        </w:tc>
      </w:tr>
      <w:tr w:rsidR="00FD0B70" w14:paraId="7FBB0E5E" w14:textId="77777777">
        <w:tc>
          <w:tcPr>
            <w:tcW w:w="2376" w:type="dxa"/>
            <w:tcBorders>
              <w:top w:val="nil"/>
              <w:left w:val="nil"/>
              <w:bottom w:val="nil"/>
              <w:right w:val="nil"/>
            </w:tcBorders>
            <w:tcMar>
              <w:top w:w="0" w:type="dxa"/>
              <w:left w:w="108" w:type="dxa"/>
              <w:bottom w:w="0" w:type="dxa"/>
              <w:right w:w="108" w:type="dxa"/>
            </w:tcMar>
            <w:vAlign w:val="center"/>
            <w:hideMark/>
          </w:tcPr>
          <w:p w14:paraId="7B397AFA" w14:textId="77777777" w:rsidR="00FD0B70" w:rsidRDefault="00FD0B70">
            <w:pPr>
              <w:spacing w:after="0"/>
              <w:jc w:val="center"/>
            </w:pPr>
            <w:r>
              <w:rPr>
                <w:color w:val="1B4B45"/>
                <w:sz w:val="15"/>
                <w:szCs w:val="15"/>
              </w:rPr>
              <w:t>Energy Storage &amp; Flexibility</w:t>
            </w:r>
          </w:p>
        </w:tc>
        <w:tc>
          <w:tcPr>
            <w:tcW w:w="648" w:type="dxa"/>
            <w:tcBorders>
              <w:top w:val="nil"/>
              <w:left w:val="nil"/>
              <w:bottom w:val="nil"/>
              <w:right w:val="nil"/>
            </w:tcBorders>
            <w:tcMar>
              <w:top w:w="0" w:type="dxa"/>
              <w:left w:w="108" w:type="dxa"/>
              <w:bottom w:w="0" w:type="dxa"/>
              <w:right w:w="108" w:type="dxa"/>
            </w:tcMar>
            <w:vAlign w:val="center"/>
            <w:hideMark/>
          </w:tcPr>
          <w:p w14:paraId="672FC81F" w14:textId="77777777" w:rsidR="00FD0B70" w:rsidRDefault="00FD0B70">
            <w:pPr>
              <w:spacing w:after="0"/>
            </w:pPr>
            <w:r>
              <w:rPr>
                <w:color w:val="1B4B45"/>
                <w:sz w:val="15"/>
                <w:szCs w:val="15"/>
              </w:rPr>
              <w:t>9</w:t>
            </w:r>
          </w:p>
        </w:tc>
        <w:tc>
          <w:tcPr>
            <w:tcW w:w="648" w:type="dxa"/>
            <w:tcBorders>
              <w:top w:val="nil"/>
              <w:left w:val="nil"/>
              <w:bottom w:val="nil"/>
              <w:right w:val="nil"/>
            </w:tcBorders>
            <w:tcMar>
              <w:top w:w="0" w:type="dxa"/>
              <w:left w:w="108" w:type="dxa"/>
              <w:bottom w:w="0" w:type="dxa"/>
              <w:right w:w="108" w:type="dxa"/>
            </w:tcMar>
            <w:vAlign w:val="center"/>
            <w:hideMark/>
          </w:tcPr>
          <w:p w14:paraId="2F1D3E7B" w14:textId="77777777" w:rsidR="00FD0B70" w:rsidRDefault="00FD0B70">
            <w:pPr>
              <w:spacing w:after="0"/>
            </w:pPr>
            <w:r>
              <w:rPr>
                <w:color w:val="1B4B45"/>
                <w:sz w:val="15"/>
                <w:szCs w:val="15"/>
              </w:rPr>
              <w:t>+7</w:t>
            </w:r>
          </w:p>
        </w:tc>
        <w:tc>
          <w:tcPr>
            <w:tcW w:w="1080" w:type="dxa"/>
            <w:tcBorders>
              <w:top w:val="nil"/>
              <w:left w:val="nil"/>
              <w:bottom w:val="nil"/>
              <w:right w:val="nil"/>
            </w:tcBorders>
            <w:tcMar>
              <w:top w:w="0" w:type="dxa"/>
              <w:left w:w="108" w:type="dxa"/>
              <w:bottom w:w="0" w:type="dxa"/>
              <w:right w:w="108" w:type="dxa"/>
            </w:tcMar>
            <w:vAlign w:val="center"/>
            <w:hideMark/>
          </w:tcPr>
          <w:p w14:paraId="0FF2B9C5" w14:textId="77777777" w:rsidR="00FD0B70" w:rsidRDefault="00FD0B70">
            <w:pPr>
              <w:spacing w:after="0"/>
            </w:pPr>
            <w:r>
              <w:rPr>
                <w:b/>
                <w:bCs/>
                <w:color w:val="C77A00"/>
                <w:sz w:val="15"/>
                <w:szCs w:val="15"/>
              </w:rPr>
              <w:t>Accelerating</w:t>
            </w:r>
          </w:p>
        </w:tc>
        <w:tc>
          <w:tcPr>
            <w:tcW w:w="5328" w:type="dxa"/>
            <w:tcBorders>
              <w:top w:val="nil"/>
              <w:left w:val="nil"/>
              <w:bottom w:val="nil"/>
              <w:right w:val="nil"/>
            </w:tcBorders>
            <w:tcMar>
              <w:top w:w="0" w:type="dxa"/>
              <w:left w:w="108" w:type="dxa"/>
              <w:bottom w:w="0" w:type="dxa"/>
              <w:right w:w="108" w:type="dxa"/>
            </w:tcMar>
            <w:vAlign w:val="center"/>
            <w:hideMark/>
          </w:tcPr>
          <w:p w14:paraId="6DCD802C" w14:textId="77777777" w:rsidR="00FD0B70" w:rsidRDefault="00FD0B70">
            <w:pPr>
              <w:spacing w:after="0"/>
            </w:pPr>
            <w:r>
              <w:rPr>
                <w:color w:val="1B4B45"/>
                <w:sz w:val="15"/>
                <w:szCs w:val="15"/>
              </w:rPr>
              <w:t>Ownership, local siting, bonds, backup systems and technology scope</w:t>
            </w:r>
          </w:p>
        </w:tc>
      </w:tr>
      <w:tr w:rsidR="00FD0B70" w14:paraId="04B4C7F1"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46232C0D" w14:textId="77777777" w:rsidR="00FD0B70" w:rsidRDefault="00FD0B70">
            <w:pPr>
              <w:spacing w:after="0"/>
              <w:jc w:val="center"/>
            </w:pPr>
            <w:r>
              <w:rPr>
                <w:color w:val="1B4B45"/>
                <w:sz w:val="15"/>
                <w:szCs w:val="15"/>
              </w:rPr>
              <w:t>Workforce &amp; Employment</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4E5DCAF5" w14:textId="77777777" w:rsidR="00FD0B70" w:rsidRDefault="00FD0B70">
            <w:pPr>
              <w:spacing w:after="0"/>
            </w:pPr>
            <w:r>
              <w:rPr>
                <w:color w:val="1B4B45"/>
                <w:sz w:val="15"/>
                <w:szCs w:val="15"/>
              </w:rPr>
              <w:t>8</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7F4009D8" w14:textId="77777777" w:rsidR="00FD0B70" w:rsidRDefault="00FD0B70">
            <w:pPr>
              <w:spacing w:after="0"/>
            </w:pPr>
            <w:r>
              <w:rPr>
                <w:color w:val="1B4B45"/>
                <w:sz w:val="15"/>
                <w:szCs w:val="15"/>
              </w:rPr>
              <w:t>-2</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56C69270" w14:textId="77777777" w:rsidR="00FD0B70" w:rsidRDefault="00FD0B70">
            <w:pPr>
              <w:spacing w:after="0"/>
            </w:pPr>
            <w:r>
              <w:rPr>
                <w:color w:val="8A2B2B"/>
                <w:sz w:val="15"/>
                <w:szCs w:val="15"/>
              </w:rPr>
              <w:t>Cooling</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1AECACFB" w14:textId="77777777" w:rsidR="00FD0B70" w:rsidRDefault="00FD0B70">
            <w:pPr>
              <w:spacing w:after="0"/>
            </w:pPr>
            <w:r>
              <w:rPr>
                <w:color w:val="1B4B45"/>
                <w:sz w:val="15"/>
                <w:szCs w:val="15"/>
              </w:rPr>
              <w:t>Prevailing wage, equal pay, worker protection and AI displacement</w:t>
            </w:r>
          </w:p>
        </w:tc>
      </w:tr>
      <w:tr w:rsidR="00FD0B70" w14:paraId="3D760B05" w14:textId="77777777">
        <w:tc>
          <w:tcPr>
            <w:tcW w:w="2376" w:type="dxa"/>
            <w:tcBorders>
              <w:top w:val="nil"/>
              <w:left w:val="nil"/>
              <w:bottom w:val="nil"/>
              <w:right w:val="nil"/>
            </w:tcBorders>
            <w:tcMar>
              <w:top w:w="0" w:type="dxa"/>
              <w:left w:w="108" w:type="dxa"/>
              <w:bottom w:w="0" w:type="dxa"/>
              <w:right w:w="108" w:type="dxa"/>
            </w:tcMar>
            <w:vAlign w:val="center"/>
            <w:hideMark/>
          </w:tcPr>
          <w:p w14:paraId="26672937" w14:textId="77777777" w:rsidR="00FD0B70" w:rsidRDefault="00FD0B70">
            <w:pPr>
              <w:spacing w:after="0"/>
              <w:jc w:val="center"/>
            </w:pPr>
            <w:r>
              <w:rPr>
                <w:color w:val="1B4B45"/>
                <w:sz w:val="15"/>
                <w:szCs w:val="15"/>
              </w:rPr>
              <w:t>Data Centers &amp; Large Loads</w:t>
            </w:r>
          </w:p>
        </w:tc>
        <w:tc>
          <w:tcPr>
            <w:tcW w:w="648" w:type="dxa"/>
            <w:tcBorders>
              <w:top w:val="nil"/>
              <w:left w:val="nil"/>
              <w:bottom w:val="nil"/>
              <w:right w:val="nil"/>
            </w:tcBorders>
            <w:tcMar>
              <w:top w:w="0" w:type="dxa"/>
              <w:left w:w="108" w:type="dxa"/>
              <w:bottom w:w="0" w:type="dxa"/>
              <w:right w:w="108" w:type="dxa"/>
            </w:tcMar>
            <w:vAlign w:val="center"/>
            <w:hideMark/>
          </w:tcPr>
          <w:p w14:paraId="5EA4F374" w14:textId="77777777" w:rsidR="00FD0B70" w:rsidRDefault="00FD0B70">
            <w:pPr>
              <w:spacing w:after="0"/>
            </w:pPr>
            <w:r>
              <w:rPr>
                <w:color w:val="1B4B45"/>
                <w:sz w:val="15"/>
                <w:szCs w:val="15"/>
              </w:rPr>
              <w:t>8</w:t>
            </w:r>
          </w:p>
        </w:tc>
        <w:tc>
          <w:tcPr>
            <w:tcW w:w="648" w:type="dxa"/>
            <w:tcBorders>
              <w:top w:val="nil"/>
              <w:left w:val="nil"/>
              <w:bottom w:val="nil"/>
              <w:right w:val="nil"/>
            </w:tcBorders>
            <w:tcMar>
              <w:top w:w="0" w:type="dxa"/>
              <w:left w:w="108" w:type="dxa"/>
              <w:bottom w:w="0" w:type="dxa"/>
              <w:right w:w="108" w:type="dxa"/>
            </w:tcMar>
            <w:vAlign w:val="center"/>
            <w:hideMark/>
          </w:tcPr>
          <w:p w14:paraId="791C8620" w14:textId="77777777" w:rsidR="00FD0B70" w:rsidRDefault="00FD0B70">
            <w:pPr>
              <w:spacing w:after="0"/>
            </w:pPr>
            <w:r>
              <w:rPr>
                <w:color w:val="1B4B45"/>
                <w:sz w:val="15"/>
                <w:szCs w:val="15"/>
              </w:rPr>
              <w:t>+3</w:t>
            </w:r>
          </w:p>
        </w:tc>
        <w:tc>
          <w:tcPr>
            <w:tcW w:w="1080" w:type="dxa"/>
            <w:tcBorders>
              <w:top w:val="nil"/>
              <w:left w:val="nil"/>
              <w:bottom w:val="nil"/>
              <w:right w:val="nil"/>
            </w:tcBorders>
            <w:tcMar>
              <w:top w:w="0" w:type="dxa"/>
              <w:left w:w="108" w:type="dxa"/>
              <w:bottom w:w="0" w:type="dxa"/>
              <w:right w:w="108" w:type="dxa"/>
            </w:tcMar>
            <w:vAlign w:val="center"/>
            <w:hideMark/>
          </w:tcPr>
          <w:p w14:paraId="5652636C" w14:textId="77777777" w:rsidR="00FD0B70" w:rsidRDefault="00FD0B70">
            <w:pPr>
              <w:spacing w:after="0"/>
            </w:pPr>
            <w:r>
              <w:rPr>
                <w:color w:val="8A6D00"/>
                <w:sz w:val="15"/>
                <w:szCs w:val="15"/>
              </w:rPr>
              <w:t>Rising</w:t>
            </w:r>
          </w:p>
        </w:tc>
        <w:tc>
          <w:tcPr>
            <w:tcW w:w="5328" w:type="dxa"/>
            <w:tcBorders>
              <w:top w:val="nil"/>
              <w:left w:val="nil"/>
              <w:bottom w:val="nil"/>
              <w:right w:val="nil"/>
            </w:tcBorders>
            <w:tcMar>
              <w:top w:w="0" w:type="dxa"/>
              <w:left w:w="108" w:type="dxa"/>
              <w:bottom w:w="0" w:type="dxa"/>
              <w:right w:w="108" w:type="dxa"/>
            </w:tcMar>
            <w:vAlign w:val="center"/>
            <w:hideMark/>
          </w:tcPr>
          <w:p w14:paraId="31BD125B" w14:textId="77777777" w:rsidR="00FD0B70" w:rsidRDefault="00FD0B70">
            <w:pPr>
              <w:spacing w:after="0"/>
            </w:pPr>
            <w:r>
              <w:rPr>
                <w:color w:val="1B4B45"/>
                <w:sz w:val="15"/>
                <w:szCs w:val="15"/>
              </w:rPr>
              <w:t>Tariffs, self-supply, water/cooling, ownership, siting and firm capacity</w:t>
            </w:r>
          </w:p>
        </w:tc>
      </w:tr>
      <w:tr w:rsidR="00FD0B70" w14:paraId="60ED9CF1" w14:textId="77777777">
        <w:tc>
          <w:tcPr>
            <w:tcW w:w="2376" w:type="dxa"/>
            <w:tcBorders>
              <w:top w:val="nil"/>
              <w:left w:val="nil"/>
              <w:bottom w:val="nil"/>
              <w:right w:val="nil"/>
            </w:tcBorders>
            <w:shd w:val="clear" w:color="auto" w:fill="E6F2F0"/>
            <w:tcMar>
              <w:top w:w="0" w:type="dxa"/>
              <w:left w:w="108" w:type="dxa"/>
              <w:bottom w:w="0" w:type="dxa"/>
              <w:right w:w="108" w:type="dxa"/>
            </w:tcMar>
            <w:vAlign w:val="center"/>
            <w:hideMark/>
          </w:tcPr>
          <w:p w14:paraId="7491901C" w14:textId="77777777" w:rsidR="00FD0B70" w:rsidRDefault="00FD0B70">
            <w:pPr>
              <w:spacing w:after="0"/>
              <w:jc w:val="center"/>
            </w:pPr>
            <w:r>
              <w:rPr>
                <w:color w:val="1B4B45"/>
                <w:sz w:val="15"/>
                <w:szCs w:val="15"/>
              </w:rPr>
              <w:t>Transmission, Siting &amp; Interconnection</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0F528573" w14:textId="77777777" w:rsidR="00FD0B70" w:rsidRDefault="00FD0B70">
            <w:pPr>
              <w:spacing w:after="0"/>
            </w:pPr>
            <w:r>
              <w:rPr>
                <w:color w:val="1B4B45"/>
                <w:sz w:val="15"/>
                <w:szCs w:val="15"/>
              </w:rPr>
              <w:t>7</w:t>
            </w:r>
          </w:p>
        </w:tc>
        <w:tc>
          <w:tcPr>
            <w:tcW w:w="648" w:type="dxa"/>
            <w:tcBorders>
              <w:top w:val="nil"/>
              <w:left w:val="nil"/>
              <w:bottom w:val="nil"/>
              <w:right w:val="nil"/>
            </w:tcBorders>
            <w:shd w:val="clear" w:color="auto" w:fill="E6F2F0"/>
            <w:tcMar>
              <w:top w:w="0" w:type="dxa"/>
              <w:left w:w="108" w:type="dxa"/>
              <w:bottom w:w="0" w:type="dxa"/>
              <w:right w:w="108" w:type="dxa"/>
            </w:tcMar>
            <w:vAlign w:val="center"/>
            <w:hideMark/>
          </w:tcPr>
          <w:p w14:paraId="6BD6493E" w14:textId="77777777" w:rsidR="00FD0B70" w:rsidRDefault="00FD0B70">
            <w:pPr>
              <w:spacing w:after="0"/>
            </w:pPr>
            <w:r>
              <w:rPr>
                <w:color w:val="1B4B45"/>
                <w:sz w:val="15"/>
                <w:szCs w:val="15"/>
              </w:rPr>
              <w:t>+0</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16C4BFC5" w14:textId="77777777" w:rsidR="00FD0B70" w:rsidRDefault="00FD0B70">
            <w:pPr>
              <w:spacing w:after="0"/>
            </w:pPr>
            <w:r>
              <w:rPr>
                <w:color w:val="555555"/>
                <w:sz w:val="15"/>
                <w:szCs w:val="15"/>
              </w:rPr>
              <w:t>Flat</w:t>
            </w:r>
          </w:p>
        </w:tc>
        <w:tc>
          <w:tcPr>
            <w:tcW w:w="5328" w:type="dxa"/>
            <w:tcBorders>
              <w:top w:val="nil"/>
              <w:left w:val="nil"/>
              <w:bottom w:val="nil"/>
              <w:right w:val="nil"/>
            </w:tcBorders>
            <w:shd w:val="clear" w:color="auto" w:fill="E6F2F0"/>
            <w:tcMar>
              <w:top w:w="0" w:type="dxa"/>
              <w:left w:w="108" w:type="dxa"/>
              <w:bottom w:w="0" w:type="dxa"/>
              <w:right w:w="108" w:type="dxa"/>
            </w:tcMar>
            <w:vAlign w:val="center"/>
            <w:hideMark/>
          </w:tcPr>
          <w:p w14:paraId="14FD9FF1" w14:textId="77777777" w:rsidR="00FD0B70" w:rsidRDefault="00FD0B70">
            <w:pPr>
              <w:spacing w:after="0"/>
            </w:pPr>
            <w:r>
              <w:rPr>
                <w:color w:val="1B4B45"/>
                <w:sz w:val="15"/>
                <w:szCs w:val="15"/>
              </w:rPr>
              <w:t>Who builds, owns, pays and receives approval</w:t>
            </w:r>
          </w:p>
        </w:tc>
      </w:tr>
      <w:tr w:rsidR="00FD0B70" w14:paraId="5D947F4F" w14:textId="77777777">
        <w:tc>
          <w:tcPr>
            <w:tcW w:w="2376" w:type="dxa"/>
            <w:tcBorders>
              <w:top w:val="nil"/>
              <w:left w:val="nil"/>
              <w:bottom w:val="single" w:sz="8" w:space="0" w:color="2F8577"/>
              <w:right w:val="nil"/>
            </w:tcBorders>
            <w:tcMar>
              <w:top w:w="0" w:type="dxa"/>
              <w:left w:w="108" w:type="dxa"/>
              <w:bottom w:w="0" w:type="dxa"/>
              <w:right w:w="108" w:type="dxa"/>
            </w:tcMar>
            <w:vAlign w:val="center"/>
            <w:hideMark/>
          </w:tcPr>
          <w:p w14:paraId="16AAB2D4" w14:textId="77777777" w:rsidR="00FD0B70" w:rsidRDefault="00FD0B70">
            <w:pPr>
              <w:spacing w:after="0"/>
              <w:jc w:val="center"/>
            </w:pPr>
            <w:r>
              <w:rPr>
                <w:color w:val="1B4B45"/>
                <w:sz w:val="15"/>
                <w:szCs w:val="15"/>
              </w:rPr>
              <w:t>Economic Development &amp; Industrial Policy</w:t>
            </w:r>
          </w:p>
        </w:tc>
        <w:tc>
          <w:tcPr>
            <w:tcW w:w="648" w:type="dxa"/>
            <w:tcBorders>
              <w:top w:val="nil"/>
              <w:left w:val="nil"/>
              <w:bottom w:val="single" w:sz="8" w:space="0" w:color="2F8577"/>
              <w:right w:val="nil"/>
            </w:tcBorders>
            <w:tcMar>
              <w:top w:w="0" w:type="dxa"/>
              <w:left w:w="108" w:type="dxa"/>
              <w:bottom w:w="0" w:type="dxa"/>
              <w:right w:w="108" w:type="dxa"/>
            </w:tcMar>
            <w:vAlign w:val="center"/>
            <w:hideMark/>
          </w:tcPr>
          <w:p w14:paraId="2D9B2A5C" w14:textId="77777777" w:rsidR="00FD0B70" w:rsidRDefault="00FD0B70">
            <w:pPr>
              <w:spacing w:after="0"/>
            </w:pPr>
            <w:r>
              <w:rPr>
                <w:color w:val="1B4B45"/>
                <w:sz w:val="15"/>
                <w:szCs w:val="15"/>
              </w:rPr>
              <w:t>7</w:t>
            </w:r>
          </w:p>
        </w:tc>
        <w:tc>
          <w:tcPr>
            <w:tcW w:w="648" w:type="dxa"/>
            <w:tcBorders>
              <w:top w:val="nil"/>
              <w:left w:val="nil"/>
              <w:bottom w:val="single" w:sz="8" w:space="0" w:color="2F8577"/>
              <w:right w:val="nil"/>
            </w:tcBorders>
            <w:tcMar>
              <w:top w:w="0" w:type="dxa"/>
              <w:left w:w="108" w:type="dxa"/>
              <w:bottom w:w="0" w:type="dxa"/>
              <w:right w:w="108" w:type="dxa"/>
            </w:tcMar>
            <w:vAlign w:val="center"/>
            <w:hideMark/>
          </w:tcPr>
          <w:p w14:paraId="34B4DFDE" w14:textId="77777777" w:rsidR="00FD0B70" w:rsidRDefault="00FD0B70">
            <w:pPr>
              <w:spacing w:after="0"/>
            </w:pPr>
            <w:r>
              <w:rPr>
                <w:color w:val="1B4B45"/>
                <w:sz w:val="15"/>
                <w:szCs w:val="15"/>
              </w:rPr>
              <w:t>+0</w:t>
            </w:r>
          </w:p>
        </w:tc>
        <w:tc>
          <w:tcPr>
            <w:tcW w:w="1080" w:type="dxa"/>
            <w:tcBorders>
              <w:top w:val="nil"/>
              <w:left w:val="nil"/>
              <w:bottom w:val="single" w:sz="8" w:space="0" w:color="2F8577"/>
              <w:right w:val="nil"/>
            </w:tcBorders>
            <w:tcMar>
              <w:top w:w="0" w:type="dxa"/>
              <w:left w:w="108" w:type="dxa"/>
              <w:bottom w:w="0" w:type="dxa"/>
              <w:right w:w="108" w:type="dxa"/>
            </w:tcMar>
            <w:vAlign w:val="center"/>
            <w:hideMark/>
          </w:tcPr>
          <w:p w14:paraId="19FD1653" w14:textId="77777777" w:rsidR="00FD0B70" w:rsidRDefault="00FD0B70">
            <w:pPr>
              <w:spacing w:after="0"/>
            </w:pPr>
            <w:r>
              <w:rPr>
                <w:color w:val="555555"/>
                <w:sz w:val="15"/>
                <w:szCs w:val="15"/>
              </w:rPr>
              <w:t>Flat</w:t>
            </w:r>
          </w:p>
        </w:tc>
        <w:tc>
          <w:tcPr>
            <w:tcW w:w="5328" w:type="dxa"/>
            <w:tcBorders>
              <w:top w:val="nil"/>
              <w:left w:val="nil"/>
              <w:bottom w:val="single" w:sz="8" w:space="0" w:color="2F8577"/>
              <w:right w:val="nil"/>
            </w:tcBorders>
            <w:tcMar>
              <w:top w:w="0" w:type="dxa"/>
              <w:left w:w="108" w:type="dxa"/>
              <w:bottom w:w="0" w:type="dxa"/>
              <w:right w:w="108" w:type="dxa"/>
            </w:tcMar>
            <w:vAlign w:val="center"/>
            <w:hideMark/>
          </w:tcPr>
          <w:p w14:paraId="1D4E3D5B" w14:textId="77777777" w:rsidR="00FD0B70" w:rsidRDefault="00FD0B70">
            <w:pPr>
              <w:spacing w:after="0"/>
            </w:pPr>
            <w:r>
              <w:rPr>
                <w:color w:val="1B4B45"/>
                <w:sz w:val="15"/>
                <w:szCs w:val="15"/>
              </w:rPr>
              <w:t>Incentives, megaprojects and advanced technology policy</w:t>
            </w:r>
          </w:p>
        </w:tc>
      </w:tr>
    </w:tbl>
    <w:p w14:paraId="1A25292E" w14:textId="77777777" w:rsidR="003C0548" w:rsidRDefault="006F72DF">
      <w:pPr>
        <w:pStyle w:val="SourceNote"/>
      </w:pPr>
      <w:r>
        <w:t xml:space="preserve">Internal source: Issue Transitions matrix. Refined categories replace the broad Government Administration, Legal Affairs &amp; </w:t>
      </w:r>
      <w:proofErr w:type="gramStart"/>
      <w:r>
        <w:t>Cross-Cutting</w:t>
      </w:r>
      <w:proofErr w:type="gramEnd"/>
      <w:r>
        <w:t xml:space="preserve"> Policy bucket.</w:t>
      </w:r>
    </w:p>
    <w:p w14:paraId="65162D4C" w14:textId="77777777" w:rsidR="00E23FC0" w:rsidRDefault="00E23FC0" w:rsidP="00E23FC0">
      <w:pPr>
        <w:pStyle w:val="Heading1"/>
        <w:rPr>
          <w:color w:val="1B4B45"/>
          <w:kern w:val="36"/>
          <w:szCs w:val="34"/>
          <w14:ligatures w14:val="standardContextual"/>
        </w:rPr>
      </w:pPr>
      <w:r>
        <w:rPr>
          <w:color w:val="1B4B45"/>
        </w:rPr>
        <w:t>4. Trend Bills That Define the Shift</w:t>
      </w:r>
    </w:p>
    <w:tbl>
      <w:tblPr>
        <w:tblW w:w="0" w:type="auto"/>
        <w:tblCellMar>
          <w:left w:w="0" w:type="dxa"/>
          <w:right w:w="0" w:type="dxa"/>
        </w:tblCellMar>
        <w:tblLook w:val="04A0" w:firstRow="1" w:lastRow="0" w:firstColumn="1" w:lastColumn="0" w:noHBand="0" w:noVBand="1"/>
      </w:tblPr>
      <w:tblGrid>
        <w:gridCol w:w="784"/>
        <w:gridCol w:w="3651"/>
        <w:gridCol w:w="5731"/>
      </w:tblGrid>
      <w:tr w:rsidR="00E74D41" w14:paraId="5C358492" w14:textId="77777777">
        <w:tc>
          <w:tcPr>
            <w:tcW w:w="792"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2BEA5E55" w14:textId="77777777" w:rsidR="00E74D41" w:rsidRDefault="00E74D41">
            <w:pPr>
              <w:spacing w:after="0"/>
              <w:jc w:val="center"/>
              <w:rPr>
                <w:kern w:val="2"/>
                <w:szCs w:val="19"/>
                <w14:ligatures w14:val="standardContextual"/>
              </w:rPr>
            </w:pPr>
            <w:r>
              <w:rPr>
                <w:b/>
                <w:bCs/>
                <w:color w:val="FFFFFF"/>
                <w:sz w:val="16"/>
                <w:szCs w:val="16"/>
              </w:rPr>
              <w:t>Year</w:t>
            </w:r>
          </w:p>
        </w:tc>
        <w:tc>
          <w:tcPr>
            <w:tcW w:w="3744"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931B3A7" w14:textId="77777777" w:rsidR="00E74D41" w:rsidRDefault="00E74D41">
            <w:pPr>
              <w:spacing w:after="0"/>
              <w:jc w:val="center"/>
            </w:pPr>
            <w:r>
              <w:rPr>
                <w:b/>
                <w:bCs/>
                <w:color w:val="FFFFFF"/>
                <w:sz w:val="16"/>
                <w:szCs w:val="16"/>
              </w:rPr>
              <w:t>Defining measures</w:t>
            </w:r>
          </w:p>
        </w:tc>
        <w:tc>
          <w:tcPr>
            <w:tcW w:w="5904"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62C5E02A" w14:textId="77777777" w:rsidR="00E74D41" w:rsidRDefault="00E74D41">
            <w:pPr>
              <w:spacing w:after="0"/>
              <w:jc w:val="center"/>
            </w:pPr>
            <w:r>
              <w:rPr>
                <w:b/>
                <w:bCs/>
                <w:color w:val="FFFFFF"/>
                <w:sz w:val="16"/>
                <w:szCs w:val="16"/>
              </w:rPr>
              <w:t>Why they matter</w:t>
            </w:r>
          </w:p>
        </w:tc>
      </w:tr>
      <w:tr w:rsidR="00E74D41" w14:paraId="49CD2386" w14:textId="77777777">
        <w:tc>
          <w:tcPr>
            <w:tcW w:w="792" w:type="dxa"/>
            <w:tcBorders>
              <w:top w:val="nil"/>
              <w:left w:val="nil"/>
              <w:bottom w:val="nil"/>
              <w:right w:val="nil"/>
            </w:tcBorders>
            <w:shd w:val="clear" w:color="auto" w:fill="E6F2F0"/>
            <w:tcMar>
              <w:top w:w="0" w:type="dxa"/>
              <w:left w:w="108" w:type="dxa"/>
              <w:bottom w:w="0" w:type="dxa"/>
              <w:right w:w="108" w:type="dxa"/>
            </w:tcMar>
            <w:vAlign w:val="center"/>
            <w:hideMark/>
          </w:tcPr>
          <w:p w14:paraId="0C2BC2AA" w14:textId="77777777" w:rsidR="00E74D41" w:rsidRDefault="00E74D41">
            <w:pPr>
              <w:spacing w:after="0"/>
              <w:jc w:val="center"/>
            </w:pPr>
            <w:r>
              <w:rPr>
                <w:color w:val="1B4B45"/>
                <w:sz w:val="16"/>
                <w:szCs w:val="16"/>
              </w:rPr>
              <w:t>2020</w:t>
            </w:r>
          </w:p>
        </w:tc>
        <w:tc>
          <w:tcPr>
            <w:tcW w:w="3744" w:type="dxa"/>
            <w:tcBorders>
              <w:top w:val="nil"/>
              <w:left w:val="nil"/>
              <w:bottom w:val="nil"/>
              <w:right w:val="nil"/>
            </w:tcBorders>
            <w:shd w:val="clear" w:color="auto" w:fill="E6F2F0"/>
            <w:tcMar>
              <w:top w:w="0" w:type="dxa"/>
              <w:left w:w="108" w:type="dxa"/>
              <w:bottom w:w="0" w:type="dxa"/>
              <w:right w:w="108" w:type="dxa"/>
            </w:tcMar>
            <w:vAlign w:val="center"/>
            <w:hideMark/>
          </w:tcPr>
          <w:p w14:paraId="05D79D46" w14:textId="77777777" w:rsidR="00E74D41" w:rsidRDefault="00E74D41">
            <w:pPr>
              <w:spacing w:after="0"/>
            </w:pPr>
            <w:r>
              <w:rPr>
                <w:color w:val="1B4B45"/>
                <w:sz w:val="16"/>
                <w:szCs w:val="16"/>
              </w:rPr>
              <w:t>HB 5330 - Advanced Metering</w:t>
            </w:r>
          </w:p>
        </w:tc>
        <w:tc>
          <w:tcPr>
            <w:tcW w:w="5904" w:type="dxa"/>
            <w:tcBorders>
              <w:top w:val="nil"/>
              <w:left w:val="nil"/>
              <w:bottom w:val="nil"/>
              <w:right w:val="nil"/>
            </w:tcBorders>
            <w:shd w:val="clear" w:color="auto" w:fill="E6F2F0"/>
            <w:tcMar>
              <w:top w:w="0" w:type="dxa"/>
              <w:left w:w="108" w:type="dxa"/>
              <w:bottom w:w="0" w:type="dxa"/>
              <w:right w:w="108" w:type="dxa"/>
            </w:tcMar>
            <w:vAlign w:val="center"/>
            <w:hideMark/>
          </w:tcPr>
          <w:p w14:paraId="3BB92BAB" w14:textId="77777777" w:rsidR="00E74D41" w:rsidRDefault="00E74D41">
            <w:pPr>
              <w:spacing w:after="0"/>
            </w:pPr>
            <w:r>
              <w:rPr>
                <w:color w:val="1B4B45"/>
                <w:sz w:val="16"/>
                <w:szCs w:val="16"/>
              </w:rPr>
              <w:t>Utility modernization begins to move beyond traditional regulation.</w:t>
            </w:r>
          </w:p>
        </w:tc>
      </w:tr>
      <w:tr w:rsidR="00E74D41" w14:paraId="36274890" w14:textId="77777777">
        <w:tc>
          <w:tcPr>
            <w:tcW w:w="792" w:type="dxa"/>
            <w:tcBorders>
              <w:top w:val="nil"/>
              <w:left w:val="nil"/>
              <w:bottom w:val="nil"/>
              <w:right w:val="nil"/>
            </w:tcBorders>
            <w:tcMar>
              <w:top w:w="0" w:type="dxa"/>
              <w:left w:w="108" w:type="dxa"/>
              <w:bottom w:w="0" w:type="dxa"/>
              <w:right w:w="108" w:type="dxa"/>
            </w:tcMar>
            <w:vAlign w:val="center"/>
            <w:hideMark/>
          </w:tcPr>
          <w:p w14:paraId="5DD8B4CD" w14:textId="77777777" w:rsidR="00E74D41" w:rsidRDefault="00E74D41">
            <w:pPr>
              <w:spacing w:after="0"/>
              <w:jc w:val="center"/>
            </w:pPr>
            <w:r>
              <w:rPr>
                <w:color w:val="1B4B45"/>
                <w:sz w:val="16"/>
                <w:szCs w:val="16"/>
              </w:rPr>
              <w:t>2021</w:t>
            </w:r>
          </w:p>
        </w:tc>
        <w:tc>
          <w:tcPr>
            <w:tcW w:w="3744" w:type="dxa"/>
            <w:tcBorders>
              <w:top w:val="nil"/>
              <w:left w:val="nil"/>
              <w:bottom w:val="nil"/>
              <w:right w:val="nil"/>
            </w:tcBorders>
            <w:tcMar>
              <w:top w:w="0" w:type="dxa"/>
              <w:left w:w="108" w:type="dxa"/>
              <w:bottom w:w="0" w:type="dxa"/>
              <w:right w:w="108" w:type="dxa"/>
            </w:tcMar>
            <w:vAlign w:val="center"/>
            <w:hideMark/>
          </w:tcPr>
          <w:p w14:paraId="5D9D169B" w14:textId="77777777" w:rsidR="00E74D41" w:rsidRDefault="00E74D41">
            <w:pPr>
              <w:spacing w:after="0"/>
            </w:pPr>
            <w:r>
              <w:rPr>
                <w:color w:val="1B4B45"/>
                <w:sz w:val="16"/>
                <w:szCs w:val="16"/>
              </w:rPr>
              <w:t>HB 1472 - Climate Union Jobs Act; HB 3090 - Environmental Justice Act</w:t>
            </w:r>
          </w:p>
        </w:tc>
        <w:tc>
          <w:tcPr>
            <w:tcW w:w="5904" w:type="dxa"/>
            <w:tcBorders>
              <w:top w:val="nil"/>
              <w:left w:val="nil"/>
              <w:bottom w:val="nil"/>
              <w:right w:val="nil"/>
            </w:tcBorders>
            <w:tcMar>
              <w:top w:w="0" w:type="dxa"/>
              <w:left w:w="108" w:type="dxa"/>
              <w:bottom w:w="0" w:type="dxa"/>
              <w:right w:w="108" w:type="dxa"/>
            </w:tcMar>
            <w:vAlign w:val="center"/>
            <w:hideMark/>
          </w:tcPr>
          <w:p w14:paraId="6E7914FE" w14:textId="77777777" w:rsidR="00E74D41" w:rsidRDefault="00E74D41">
            <w:pPr>
              <w:spacing w:after="0"/>
            </w:pPr>
            <w:r>
              <w:rPr>
                <w:color w:val="1B4B45"/>
                <w:sz w:val="16"/>
                <w:szCs w:val="16"/>
              </w:rPr>
              <w:t>Clean-energy transition becomes linked to labor and equity.</w:t>
            </w:r>
          </w:p>
        </w:tc>
      </w:tr>
      <w:tr w:rsidR="00E74D41" w14:paraId="47C798A1" w14:textId="77777777">
        <w:tc>
          <w:tcPr>
            <w:tcW w:w="792" w:type="dxa"/>
            <w:tcBorders>
              <w:top w:val="nil"/>
              <w:left w:val="nil"/>
              <w:bottom w:val="nil"/>
              <w:right w:val="nil"/>
            </w:tcBorders>
            <w:shd w:val="clear" w:color="auto" w:fill="E6F2F0"/>
            <w:tcMar>
              <w:top w:w="0" w:type="dxa"/>
              <w:left w:w="108" w:type="dxa"/>
              <w:bottom w:w="0" w:type="dxa"/>
              <w:right w:w="108" w:type="dxa"/>
            </w:tcMar>
            <w:vAlign w:val="center"/>
            <w:hideMark/>
          </w:tcPr>
          <w:p w14:paraId="1C17928F" w14:textId="77777777" w:rsidR="00E74D41" w:rsidRDefault="00E74D41">
            <w:pPr>
              <w:spacing w:after="0"/>
              <w:jc w:val="center"/>
            </w:pPr>
            <w:r>
              <w:rPr>
                <w:color w:val="1B4B45"/>
                <w:sz w:val="16"/>
                <w:szCs w:val="16"/>
              </w:rPr>
              <w:t>2022</w:t>
            </w:r>
          </w:p>
        </w:tc>
        <w:tc>
          <w:tcPr>
            <w:tcW w:w="3744" w:type="dxa"/>
            <w:tcBorders>
              <w:top w:val="nil"/>
              <w:left w:val="nil"/>
              <w:bottom w:val="nil"/>
              <w:right w:val="nil"/>
            </w:tcBorders>
            <w:shd w:val="clear" w:color="auto" w:fill="E6F2F0"/>
            <w:tcMar>
              <w:top w:w="0" w:type="dxa"/>
              <w:left w:w="108" w:type="dxa"/>
              <w:bottom w:w="0" w:type="dxa"/>
              <w:right w:w="108" w:type="dxa"/>
            </w:tcMar>
            <w:vAlign w:val="center"/>
            <w:hideMark/>
          </w:tcPr>
          <w:p w14:paraId="4F5E2E0C" w14:textId="77777777" w:rsidR="00E74D41" w:rsidRDefault="00E74D41">
            <w:pPr>
              <w:spacing w:after="0"/>
            </w:pPr>
            <w:r>
              <w:rPr>
                <w:color w:val="1B4B45"/>
                <w:sz w:val="16"/>
                <w:szCs w:val="16"/>
              </w:rPr>
              <w:t>HB 3243 - EV Infrastructure Act; SB 1104 - Reliability Task Force</w:t>
            </w:r>
          </w:p>
        </w:tc>
        <w:tc>
          <w:tcPr>
            <w:tcW w:w="5904" w:type="dxa"/>
            <w:tcBorders>
              <w:top w:val="nil"/>
              <w:left w:val="nil"/>
              <w:bottom w:val="nil"/>
              <w:right w:val="nil"/>
            </w:tcBorders>
            <w:shd w:val="clear" w:color="auto" w:fill="E6F2F0"/>
            <w:tcMar>
              <w:top w:w="0" w:type="dxa"/>
              <w:left w:w="108" w:type="dxa"/>
              <w:bottom w:w="0" w:type="dxa"/>
              <w:right w:w="108" w:type="dxa"/>
            </w:tcMar>
            <w:vAlign w:val="center"/>
            <w:hideMark/>
          </w:tcPr>
          <w:p w14:paraId="6B1961BE" w14:textId="77777777" w:rsidR="00E74D41" w:rsidRDefault="00E74D41">
            <w:pPr>
              <w:spacing w:after="0"/>
            </w:pPr>
            <w:r>
              <w:rPr>
                <w:color w:val="1B4B45"/>
                <w:sz w:val="16"/>
                <w:szCs w:val="16"/>
              </w:rPr>
              <w:t>Electrification creates explicit infrastructure and reliability needs.</w:t>
            </w:r>
          </w:p>
        </w:tc>
      </w:tr>
      <w:tr w:rsidR="00E74D41" w14:paraId="2EC51B4C" w14:textId="77777777">
        <w:tc>
          <w:tcPr>
            <w:tcW w:w="792" w:type="dxa"/>
            <w:tcBorders>
              <w:top w:val="nil"/>
              <w:left w:val="nil"/>
              <w:bottom w:val="nil"/>
              <w:right w:val="nil"/>
            </w:tcBorders>
            <w:tcMar>
              <w:top w:w="0" w:type="dxa"/>
              <w:left w:w="108" w:type="dxa"/>
              <w:bottom w:w="0" w:type="dxa"/>
              <w:right w:w="108" w:type="dxa"/>
            </w:tcMar>
            <w:vAlign w:val="center"/>
            <w:hideMark/>
          </w:tcPr>
          <w:p w14:paraId="4F3733D3" w14:textId="77777777" w:rsidR="00E74D41" w:rsidRDefault="00E74D41">
            <w:pPr>
              <w:spacing w:after="0"/>
              <w:jc w:val="center"/>
            </w:pPr>
            <w:r>
              <w:rPr>
                <w:color w:val="1B4B45"/>
                <w:sz w:val="16"/>
                <w:szCs w:val="16"/>
              </w:rPr>
              <w:t>2023</w:t>
            </w:r>
          </w:p>
        </w:tc>
        <w:tc>
          <w:tcPr>
            <w:tcW w:w="3744" w:type="dxa"/>
            <w:tcBorders>
              <w:top w:val="nil"/>
              <w:left w:val="nil"/>
              <w:bottom w:val="nil"/>
              <w:right w:val="nil"/>
            </w:tcBorders>
            <w:tcMar>
              <w:top w:w="0" w:type="dxa"/>
              <w:left w:w="108" w:type="dxa"/>
              <w:bottom w:w="0" w:type="dxa"/>
              <w:right w:w="108" w:type="dxa"/>
            </w:tcMar>
            <w:vAlign w:val="center"/>
            <w:hideMark/>
          </w:tcPr>
          <w:p w14:paraId="13CC0F9B" w14:textId="77777777" w:rsidR="00E74D41" w:rsidRDefault="00E74D41">
            <w:pPr>
              <w:spacing w:after="0"/>
            </w:pPr>
            <w:r>
              <w:rPr>
                <w:color w:val="1B4B45"/>
                <w:sz w:val="16"/>
                <w:szCs w:val="16"/>
              </w:rPr>
              <w:t>HB 2202 - Underground CO2 Storage; HB 2875 - Thermal Energy Network</w:t>
            </w:r>
          </w:p>
        </w:tc>
        <w:tc>
          <w:tcPr>
            <w:tcW w:w="5904" w:type="dxa"/>
            <w:tcBorders>
              <w:top w:val="nil"/>
              <w:left w:val="nil"/>
              <w:bottom w:val="nil"/>
              <w:right w:val="nil"/>
            </w:tcBorders>
            <w:tcMar>
              <w:top w:w="0" w:type="dxa"/>
              <w:left w:w="108" w:type="dxa"/>
              <w:bottom w:w="0" w:type="dxa"/>
              <w:right w:w="108" w:type="dxa"/>
            </w:tcMar>
            <w:vAlign w:val="center"/>
            <w:hideMark/>
          </w:tcPr>
          <w:p w14:paraId="167F5AA5" w14:textId="77777777" w:rsidR="00E74D41" w:rsidRDefault="00E74D41">
            <w:pPr>
              <w:spacing w:after="0"/>
            </w:pPr>
            <w:r>
              <w:rPr>
                <w:color w:val="1B4B45"/>
                <w:sz w:val="16"/>
                <w:szCs w:val="16"/>
              </w:rPr>
              <w:t>Carbon and thermal infrastructure broaden the transition toolkit.</w:t>
            </w:r>
          </w:p>
        </w:tc>
      </w:tr>
      <w:tr w:rsidR="00E74D41" w14:paraId="5D38BCD5" w14:textId="77777777">
        <w:tc>
          <w:tcPr>
            <w:tcW w:w="792" w:type="dxa"/>
            <w:tcBorders>
              <w:top w:val="nil"/>
              <w:left w:val="nil"/>
              <w:bottom w:val="nil"/>
              <w:right w:val="nil"/>
            </w:tcBorders>
            <w:shd w:val="clear" w:color="auto" w:fill="E6F2F0"/>
            <w:tcMar>
              <w:top w:w="0" w:type="dxa"/>
              <w:left w:w="108" w:type="dxa"/>
              <w:bottom w:w="0" w:type="dxa"/>
              <w:right w:w="108" w:type="dxa"/>
            </w:tcMar>
            <w:vAlign w:val="center"/>
            <w:hideMark/>
          </w:tcPr>
          <w:p w14:paraId="5AB504A8" w14:textId="77777777" w:rsidR="00E74D41" w:rsidRDefault="00E74D41">
            <w:pPr>
              <w:spacing w:after="0"/>
              <w:jc w:val="center"/>
            </w:pPr>
            <w:r>
              <w:rPr>
                <w:color w:val="1B4B45"/>
                <w:sz w:val="16"/>
                <w:szCs w:val="16"/>
              </w:rPr>
              <w:t>2024</w:t>
            </w:r>
          </w:p>
        </w:tc>
        <w:tc>
          <w:tcPr>
            <w:tcW w:w="3744" w:type="dxa"/>
            <w:tcBorders>
              <w:top w:val="nil"/>
              <w:left w:val="nil"/>
              <w:bottom w:val="nil"/>
              <w:right w:val="nil"/>
            </w:tcBorders>
            <w:shd w:val="clear" w:color="auto" w:fill="E6F2F0"/>
            <w:tcMar>
              <w:top w:w="0" w:type="dxa"/>
              <w:left w:w="108" w:type="dxa"/>
              <w:bottom w:w="0" w:type="dxa"/>
              <w:right w:w="108" w:type="dxa"/>
            </w:tcMar>
            <w:vAlign w:val="center"/>
            <w:hideMark/>
          </w:tcPr>
          <w:p w14:paraId="6D8076E6" w14:textId="77777777" w:rsidR="00E74D41" w:rsidRDefault="00E74D41">
            <w:pPr>
              <w:spacing w:after="0"/>
            </w:pPr>
            <w:r>
              <w:rPr>
                <w:color w:val="1B4B45"/>
                <w:sz w:val="16"/>
                <w:szCs w:val="16"/>
              </w:rPr>
              <w:t>SB 3949 - High Voltage Transmission; HB 5243 - Utility-Scale Storage</w:t>
            </w:r>
          </w:p>
        </w:tc>
        <w:tc>
          <w:tcPr>
            <w:tcW w:w="5904" w:type="dxa"/>
            <w:tcBorders>
              <w:top w:val="nil"/>
              <w:left w:val="nil"/>
              <w:bottom w:val="nil"/>
              <w:right w:val="nil"/>
            </w:tcBorders>
            <w:shd w:val="clear" w:color="auto" w:fill="E6F2F0"/>
            <w:tcMar>
              <w:top w:w="0" w:type="dxa"/>
              <w:left w:w="108" w:type="dxa"/>
              <w:bottom w:w="0" w:type="dxa"/>
              <w:right w:w="108" w:type="dxa"/>
            </w:tcMar>
            <w:vAlign w:val="center"/>
            <w:hideMark/>
          </w:tcPr>
          <w:p w14:paraId="745E3589" w14:textId="77777777" w:rsidR="00E74D41" w:rsidRDefault="00E74D41">
            <w:pPr>
              <w:spacing w:after="0"/>
            </w:pPr>
            <w:r>
              <w:rPr>
                <w:color w:val="1B4B45"/>
                <w:sz w:val="16"/>
                <w:szCs w:val="16"/>
              </w:rPr>
              <w:t>Grid capacity and flexibility become legislative priorities.</w:t>
            </w:r>
          </w:p>
        </w:tc>
      </w:tr>
      <w:tr w:rsidR="00E74D41" w14:paraId="59B0977B" w14:textId="77777777">
        <w:tc>
          <w:tcPr>
            <w:tcW w:w="792" w:type="dxa"/>
            <w:tcBorders>
              <w:top w:val="nil"/>
              <w:left w:val="nil"/>
              <w:bottom w:val="nil"/>
              <w:right w:val="nil"/>
            </w:tcBorders>
            <w:tcMar>
              <w:top w:w="0" w:type="dxa"/>
              <w:left w:w="108" w:type="dxa"/>
              <w:bottom w:w="0" w:type="dxa"/>
              <w:right w:w="108" w:type="dxa"/>
            </w:tcMar>
            <w:vAlign w:val="center"/>
            <w:hideMark/>
          </w:tcPr>
          <w:p w14:paraId="64B11F27" w14:textId="77777777" w:rsidR="00E74D41" w:rsidRDefault="00E74D41">
            <w:pPr>
              <w:spacing w:after="0"/>
              <w:jc w:val="center"/>
            </w:pPr>
            <w:r>
              <w:rPr>
                <w:color w:val="1B4B45"/>
                <w:sz w:val="16"/>
                <w:szCs w:val="16"/>
              </w:rPr>
              <w:t>2025</w:t>
            </w:r>
          </w:p>
        </w:tc>
        <w:tc>
          <w:tcPr>
            <w:tcW w:w="3744" w:type="dxa"/>
            <w:tcBorders>
              <w:top w:val="nil"/>
              <w:left w:val="nil"/>
              <w:bottom w:val="nil"/>
              <w:right w:val="nil"/>
            </w:tcBorders>
            <w:tcMar>
              <w:top w:w="0" w:type="dxa"/>
              <w:left w:w="108" w:type="dxa"/>
              <w:bottom w:w="0" w:type="dxa"/>
              <w:right w:w="108" w:type="dxa"/>
            </w:tcMar>
            <w:vAlign w:val="center"/>
            <w:hideMark/>
          </w:tcPr>
          <w:p w14:paraId="7A050AF5" w14:textId="77777777" w:rsidR="00E74D41" w:rsidRDefault="00E74D41">
            <w:pPr>
              <w:spacing w:after="0"/>
            </w:pPr>
            <w:r>
              <w:rPr>
                <w:color w:val="1B4B45"/>
                <w:sz w:val="16"/>
                <w:szCs w:val="16"/>
              </w:rPr>
              <w:t>HB 3131 - Transmission Projects; SB 2181 - Data Center Reporting</w:t>
            </w:r>
          </w:p>
        </w:tc>
        <w:tc>
          <w:tcPr>
            <w:tcW w:w="5904" w:type="dxa"/>
            <w:tcBorders>
              <w:top w:val="nil"/>
              <w:left w:val="nil"/>
              <w:bottom w:val="nil"/>
              <w:right w:val="nil"/>
            </w:tcBorders>
            <w:tcMar>
              <w:top w:w="0" w:type="dxa"/>
              <w:left w:w="108" w:type="dxa"/>
              <w:bottom w:w="0" w:type="dxa"/>
              <w:right w:w="108" w:type="dxa"/>
            </w:tcMar>
            <w:vAlign w:val="center"/>
            <w:hideMark/>
          </w:tcPr>
          <w:p w14:paraId="2E825982" w14:textId="77777777" w:rsidR="00E74D41" w:rsidRDefault="00E74D41">
            <w:pPr>
              <w:spacing w:after="0"/>
            </w:pPr>
            <w:r>
              <w:rPr>
                <w:color w:val="1B4B45"/>
                <w:sz w:val="16"/>
                <w:szCs w:val="16"/>
              </w:rPr>
              <w:t>Planning shifts toward major buildout and concentrated new demand.</w:t>
            </w:r>
          </w:p>
        </w:tc>
      </w:tr>
      <w:tr w:rsidR="00E74D41" w14:paraId="64CB5A10" w14:textId="77777777">
        <w:tc>
          <w:tcPr>
            <w:tcW w:w="792"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66B03FEB" w14:textId="77777777" w:rsidR="00E74D41" w:rsidRDefault="00E74D41">
            <w:pPr>
              <w:spacing w:after="0"/>
              <w:jc w:val="center"/>
            </w:pPr>
            <w:r>
              <w:rPr>
                <w:color w:val="1B4B45"/>
                <w:sz w:val="16"/>
                <w:szCs w:val="16"/>
              </w:rPr>
              <w:t>2026</w:t>
            </w:r>
          </w:p>
        </w:tc>
        <w:tc>
          <w:tcPr>
            <w:tcW w:w="3744"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12910C57" w14:textId="77777777" w:rsidR="00E74D41" w:rsidRDefault="00E74D41">
            <w:pPr>
              <w:spacing w:after="0"/>
            </w:pPr>
            <w:r>
              <w:rPr>
                <w:color w:val="1B4B45"/>
                <w:sz w:val="16"/>
                <w:szCs w:val="16"/>
              </w:rPr>
              <w:t>HB 5513/SB 4016 - Hyperscale Data Centers; HB 4172 - Cost Recovery; HB 4456/SB 3717 - Low-Income Rates</w:t>
            </w:r>
          </w:p>
        </w:tc>
        <w:tc>
          <w:tcPr>
            <w:tcW w:w="5904"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619323A5" w14:textId="77777777" w:rsidR="00E74D41" w:rsidRDefault="00E74D41">
            <w:pPr>
              <w:spacing w:after="0"/>
            </w:pPr>
            <w:r>
              <w:rPr>
                <w:color w:val="1B4B45"/>
                <w:sz w:val="16"/>
                <w:szCs w:val="16"/>
              </w:rPr>
              <w:t>Large loads, financing, and affordability converge into one political system.</w:t>
            </w:r>
          </w:p>
        </w:tc>
      </w:tr>
    </w:tbl>
    <w:p w14:paraId="0B0136F6" w14:textId="77777777" w:rsidR="003C0548" w:rsidRDefault="006F72DF">
      <w:pPr>
        <w:pStyle w:val="SourceNote"/>
      </w:pPr>
      <w:r>
        <w:t xml:space="preserve">Internal source: </w:t>
      </w:r>
      <w:proofErr w:type="spellStart"/>
      <w:r>
        <w:t>TrendDefBilYear</w:t>
      </w:r>
      <w:proofErr w:type="spellEnd"/>
      <w:r>
        <w:t xml:space="preserve"> and 2026 Focus sheets in 2026 Bill Trends Report 2.xlsx. Bill descriptions are based on workbook subject lines, not a legal interpretation of enrolled text.</w:t>
      </w:r>
    </w:p>
    <w:p w14:paraId="23BFBDA0" w14:textId="77777777" w:rsidR="00E23FC0" w:rsidRDefault="00E23FC0" w:rsidP="00E23FC0">
      <w:pPr>
        <w:pStyle w:val="Heading1"/>
        <w:rPr>
          <w:color w:val="1B4B45"/>
          <w:kern w:val="36"/>
          <w:szCs w:val="34"/>
          <w14:ligatures w14:val="standardContextual"/>
        </w:rPr>
      </w:pPr>
      <w:r>
        <w:rPr>
          <w:color w:val="1B4B45"/>
        </w:rPr>
        <w:t>5. National Comparison: Where Illinois Fits</w:t>
      </w:r>
    </w:p>
    <w:tbl>
      <w:tblPr>
        <w:tblW w:w="0" w:type="auto"/>
        <w:tblCellMar>
          <w:left w:w="0" w:type="dxa"/>
          <w:right w:w="0" w:type="dxa"/>
        </w:tblCellMar>
        <w:tblLook w:val="04A0" w:firstRow="1" w:lastRow="0" w:firstColumn="1" w:lastColumn="0" w:noHBand="0" w:noVBand="1"/>
      </w:tblPr>
      <w:tblGrid>
        <w:gridCol w:w="10136"/>
      </w:tblGrid>
      <w:tr w:rsidR="007979B9" w14:paraId="289634A1" w14:textId="77777777">
        <w:tc>
          <w:tcPr>
            <w:tcW w:w="10166" w:type="dxa"/>
            <w:tcBorders>
              <w:left w:val="single" w:sz="24" w:space="0" w:color="C77A00"/>
            </w:tcBorders>
            <w:shd w:val="clear" w:color="auto" w:fill="FDF3E3"/>
            <w:tcMar>
              <w:top w:w="0" w:type="dxa"/>
              <w:left w:w="160" w:type="dxa"/>
              <w:bottom w:w="0" w:type="dxa"/>
              <w:right w:w="108" w:type="dxa"/>
            </w:tcMar>
            <w:hideMark/>
          </w:tcPr>
          <w:p w14:paraId="03FD5443" w14:textId="77777777" w:rsidR="007979B9" w:rsidRDefault="007979B9">
            <w:pPr>
              <w:rPr>
                <w:kern w:val="2"/>
                <w:szCs w:val="19"/>
                <w14:ligatures w14:val="standardContextual"/>
              </w:rPr>
            </w:pPr>
            <w:r>
              <w:rPr>
                <w:b/>
                <w:bCs/>
                <w:color w:val="1B4B45"/>
                <w:sz w:val="22"/>
              </w:rPr>
              <w:t>National read-through</w:t>
            </w:r>
            <w:r>
              <w:rPr>
                <w:b/>
                <w:bCs/>
                <w:color w:val="1B4B45"/>
                <w:sz w:val="22"/>
              </w:rPr>
              <w:br/>
            </w:r>
            <w:r>
              <w:rPr>
                <w:color w:val="000000"/>
              </w:rPr>
              <w:t>Illinois is not an outlier. It is an early, concentrated expression of a national convergence around data centers, ratepayer protection, storage and transmission siting, climate liability, and local control.</w:t>
            </w:r>
          </w:p>
        </w:tc>
      </w:tr>
    </w:tbl>
    <w:p w14:paraId="0D0B940D" w14:textId="77777777" w:rsidR="003C0548" w:rsidRDefault="003C0548">
      <w:pPr>
        <w:spacing w:after="0"/>
      </w:pPr>
    </w:p>
    <w:tbl>
      <w:tblPr>
        <w:tblW w:w="0" w:type="auto"/>
        <w:tblCellMar>
          <w:left w:w="0" w:type="dxa"/>
          <w:right w:w="0" w:type="dxa"/>
        </w:tblCellMar>
        <w:tblLook w:val="04A0" w:firstRow="1" w:lastRow="0" w:firstColumn="1" w:lastColumn="0" w:noHBand="0" w:noVBand="1"/>
      </w:tblPr>
      <w:tblGrid>
        <w:gridCol w:w="1706"/>
        <w:gridCol w:w="2663"/>
        <w:gridCol w:w="2980"/>
        <w:gridCol w:w="2817"/>
      </w:tblGrid>
      <w:tr w:rsidR="007979B9" w14:paraId="40AF367D" w14:textId="77777777">
        <w:tc>
          <w:tcPr>
            <w:tcW w:w="180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9674074" w14:textId="77777777" w:rsidR="007979B9" w:rsidRDefault="007979B9">
            <w:pPr>
              <w:spacing w:after="0"/>
              <w:jc w:val="center"/>
              <w:rPr>
                <w:kern w:val="2"/>
                <w:szCs w:val="19"/>
                <w14:ligatures w14:val="standardContextual"/>
              </w:rPr>
            </w:pPr>
            <w:r>
              <w:rPr>
                <w:b/>
                <w:bCs/>
                <w:color w:val="FFFFFF"/>
                <w:sz w:val="15"/>
                <w:szCs w:val="15"/>
              </w:rPr>
              <w:t>Issue</w:t>
            </w:r>
          </w:p>
        </w:tc>
        <w:tc>
          <w:tcPr>
            <w:tcW w:w="288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59205B16" w14:textId="77777777" w:rsidR="007979B9" w:rsidRDefault="007979B9">
            <w:pPr>
              <w:spacing w:after="0"/>
              <w:jc w:val="center"/>
            </w:pPr>
            <w:r>
              <w:rPr>
                <w:b/>
                <w:bCs/>
                <w:color w:val="FFFFFF"/>
                <w:sz w:val="15"/>
                <w:szCs w:val="15"/>
              </w:rPr>
              <w:t>Cross-state pattern</w:t>
            </w:r>
          </w:p>
        </w:tc>
        <w:tc>
          <w:tcPr>
            <w:tcW w:w="324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495336A1" w14:textId="77777777" w:rsidR="007979B9" w:rsidRDefault="007979B9">
            <w:pPr>
              <w:spacing w:after="0"/>
              <w:jc w:val="center"/>
            </w:pPr>
            <w:r>
              <w:rPr>
                <w:b/>
                <w:bCs/>
                <w:color w:val="FFFFFF"/>
                <w:sz w:val="15"/>
                <w:szCs w:val="15"/>
              </w:rPr>
              <w:t>Illustrative states/actions</w:t>
            </w:r>
          </w:p>
        </w:tc>
        <w:tc>
          <w:tcPr>
            <w:tcW w:w="3096"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18639DF3" w14:textId="77777777" w:rsidR="007979B9" w:rsidRDefault="007979B9">
            <w:pPr>
              <w:spacing w:after="0"/>
              <w:jc w:val="center"/>
            </w:pPr>
            <w:r>
              <w:rPr>
                <w:b/>
                <w:bCs/>
                <w:color w:val="FFFFFF"/>
                <w:sz w:val="15"/>
                <w:szCs w:val="15"/>
              </w:rPr>
              <w:t>Illinois implication</w:t>
            </w:r>
          </w:p>
        </w:tc>
      </w:tr>
      <w:tr w:rsidR="007979B9" w14:paraId="1C097409" w14:textId="77777777">
        <w:tc>
          <w:tcPr>
            <w:tcW w:w="1800" w:type="dxa"/>
            <w:tcBorders>
              <w:top w:val="nil"/>
              <w:left w:val="nil"/>
              <w:bottom w:val="nil"/>
              <w:right w:val="nil"/>
            </w:tcBorders>
            <w:shd w:val="clear" w:color="auto" w:fill="E6F2F0"/>
            <w:tcMar>
              <w:top w:w="0" w:type="dxa"/>
              <w:left w:w="108" w:type="dxa"/>
              <w:bottom w:w="0" w:type="dxa"/>
              <w:right w:w="108" w:type="dxa"/>
            </w:tcMar>
            <w:vAlign w:val="center"/>
            <w:hideMark/>
          </w:tcPr>
          <w:p w14:paraId="1CCA30A1" w14:textId="77777777" w:rsidR="007979B9" w:rsidRDefault="007979B9">
            <w:pPr>
              <w:spacing w:after="0"/>
              <w:jc w:val="center"/>
            </w:pPr>
            <w:r>
              <w:rPr>
                <w:color w:val="1B4B45"/>
                <w:sz w:val="15"/>
                <w:szCs w:val="15"/>
              </w:rPr>
              <w:t>Data centers / large loads</w:t>
            </w:r>
          </w:p>
        </w:tc>
        <w:tc>
          <w:tcPr>
            <w:tcW w:w="2880" w:type="dxa"/>
            <w:tcBorders>
              <w:top w:val="nil"/>
              <w:left w:val="nil"/>
              <w:bottom w:val="nil"/>
              <w:right w:val="nil"/>
            </w:tcBorders>
            <w:shd w:val="clear" w:color="auto" w:fill="E6F2F0"/>
            <w:tcMar>
              <w:top w:w="0" w:type="dxa"/>
              <w:left w:w="108" w:type="dxa"/>
              <w:bottom w:w="0" w:type="dxa"/>
              <w:right w:w="108" w:type="dxa"/>
            </w:tcMar>
            <w:vAlign w:val="center"/>
            <w:hideMark/>
          </w:tcPr>
          <w:p w14:paraId="13B85474" w14:textId="77777777" w:rsidR="007979B9" w:rsidRDefault="007979B9">
            <w:pPr>
              <w:spacing w:after="0"/>
            </w:pPr>
            <w:r>
              <w:rPr>
                <w:color w:val="1B4B45"/>
                <w:sz w:val="15"/>
                <w:szCs w:val="15"/>
              </w:rPr>
              <w:t>Shift from incentives to special tariffs, cost allocation, water and energy disclosure, and local siting controls</w:t>
            </w:r>
          </w:p>
        </w:tc>
        <w:tc>
          <w:tcPr>
            <w:tcW w:w="3240" w:type="dxa"/>
            <w:tcBorders>
              <w:top w:val="nil"/>
              <w:left w:val="nil"/>
              <w:bottom w:val="nil"/>
              <w:right w:val="nil"/>
            </w:tcBorders>
            <w:shd w:val="clear" w:color="auto" w:fill="E6F2F0"/>
            <w:tcMar>
              <w:top w:w="0" w:type="dxa"/>
              <w:left w:w="108" w:type="dxa"/>
              <w:bottom w:w="0" w:type="dxa"/>
              <w:right w:w="108" w:type="dxa"/>
            </w:tcMar>
            <w:vAlign w:val="center"/>
            <w:hideMark/>
          </w:tcPr>
          <w:p w14:paraId="218C8FF4" w14:textId="77777777" w:rsidR="007979B9" w:rsidRDefault="007979B9">
            <w:pPr>
              <w:spacing w:after="0"/>
            </w:pPr>
            <w:r>
              <w:rPr>
                <w:color w:val="1B4B45"/>
                <w:sz w:val="15"/>
                <w:szCs w:val="15"/>
              </w:rPr>
              <w:t>More than 40 states considered 267 related bills in 2025; South Carolina and Maryland enacted rate-negotiation laws; 2026 activity spans energy, water, zoning and taxes</w:t>
            </w:r>
          </w:p>
        </w:tc>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287B44C1" w14:textId="77777777" w:rsidR="007979B9" w:rsidRDefault="007979B9">
            <w:pPr>
              <w:spacing w:after="0"/>
            </w:pPr>
            <w:r>
              <w:rPr>
                <w:color w:val="1B4B45"/>
                <w:sz w:val="15"/>
                <w:szCs w:val="15"/>
              </w:rPr>
              <w:t>Expect large-load conditions to become a durable utility-policy category, not a one-session issue</w:t>
            </w:r>
          </w:p>
        </w:tc>
      </w:tr>
      <w:tr w:rsidR="007979B9" w14:paraId="47FA6649" w14:textId="77777777">
        <w:tc>
          <w:tcPr>
            <w:tcW w:w="1800" w:type="dxa"/>
            <w:tcBorders>
              <w:top w:val="nil"/>
              <w:left w:val="nil"/>
              <w:bottom w:val="nil"/>
              <w:right w:val="nil"/>
            </w:tcBorders>
            <w:tcMar>
              <w:top w:w="0" w:type="dxa"/>
              <w:left w:w="108" w:type="dxa"/>
              <w:bottom w:w="0" w:type="dxa"/>
              <w:right w:w="108" w:type="dxa"/>
            </w:tcMar>
            <w:vAlign w:val="center"/>
            <w:hideMark/>
          </w:tcPr>
          <w:p w14:paraId="31B54188" w14:textId="77777777" w:rsidR="007979B9" w:rsidRDefault="007979B9">
            <w:pPr>
              <w:spacing w:after="0"/>
              <w:jc w:val="center"/>
            </w:pPr>
            <w:r>
              <w:rPr>
                <w:color w:val="1B4B45"/>
                <w:sz w:val="15"/>
                <w:szCs w:val="15"/>
              </w:rPr>
              <w:t>Affordability / tariffs</w:t>
            </w:r>
          </w:p>
        </w:tc>
        <w:tc>
          <w:tcPr>
            <w:tcW w:w="2880" w:type="dxa"/>
            <w:tcBorders>
              <w:top w:val="nil"/>
              <w:left w:val="nil"/>
              <w:bottom w:val="nil"/>
              <w:right w:val="nil"/>
            </w:tcBorders>
            <w:tcMar>
              <w:top w:w="0" w:type="dxa"/>
              <w:left w:w="108" w:type="dxa"/>
              <w:bottom w:w="0" w:type="dxa"/>
              <w:right w:w="108" w:type="dxa"/>
            </w:tcMar>
            <w:vAlign w:val="center"/>
            <w:hideMark/>
          </w:tcPr>
          <w:p w14:paraId="119FC418" w14:textId="77777777" w:rsidR="007979B9" w:rsidRDefault="007979B9">
            <w:pPr>
              <w:spacing w:after="0"/>
            </w:pPr>
            <w:r>
              <w:rPr>
                <w:color w:val="1B4B45"/>
                <w:sz w:val="15"/>
                <w:szCs w:val="15"/>
              </w:rPr>
              <w:t>Regulators and legislators seek minimum-demand contracts, construction contributions, special rate classes and consumer protections</w:t>
            </w:r>
          </w:p>
        </w:tc>
        <w:tc>
          <w:tcPr>
            <w:tcW w:w="3240" w:type="dxa"/>
            <w:tcBorders>
              <w:top w:val="nil"/>
              <w:left w:val="nil"/>
              <w:bottom w:val="nil"/>
              <w:right w:val="nil"/>
            </w:tcBorders>
            <w:tcMar>
              <w:top w:w="0" w:type="dxa"/>
              <w:left w:w="108" w:type="dxa"/>
              <w:bottom w:w="0" w:type="dxa"/>
              <w:right w:w="108" w:type="dxa"/>
            </w:tcMar>
            <w:vAlign w:val="center"/>
            <w:hideMark/>
          </w:tcPr>
          <w:p w14:paraId="39327D59" w14:textId="77777777" w:rsidR="007979B9" w:rsidRDefault="007979B9">
            <w:pPr>
              <w:spacing w:after="0"/>
            </w:pPr>
            <w:r>
              <w:rPr>
                <w:color w:val="1B4B45"/>
                <w:sz w:val="15"/>
                <w:szCs w:val="15"/>
              </w:rPr>
              <w:t>25 utilities across 19 states had filed data-center-specific tariffs by March 2026</w:t>
            </w:r>
          </w:p>
        </w:tc>
        <w:tc>
          <w:tcPr>
            <w:tcW w:w="3096" w:type="dxa"/>
            <w:tcBorders>
              <w:top w:val="nil"/>
              <w:left w:val="nil"/>
              <w:bottom w:val="nil"/>
              <w:right w:val="nil"/>
            </w:tcBorders>
            <w:tcMar>
              <w:top w:w="0" w:type="dxa"/>
              <w:left w:w="108" w:type="dxa"/>
              <w:bottom w:w="0" w:type="dxa"/>
              <w:right w:w="108" w:type="dxa"/>
            </w:tcMar>
            <w:vAlign w:val="center"/>
            <w:hideMark/>
          </w:tcPr>
          <w:p w14:paraId="60FF94C0" w14:textId="77777777" w:rsidR="007979B9" w:rsidRDefault="007979B9">
            <w:pPr>
              <w:spacing w:after="0"/>
            </w:pPr>
            <w:r>
              <w:rPr>
                <w:color w:val="1B4B45"/>
                <w:sz w:val="15"/>
                <w:szCs w:val="15"/>
              </w:rPr>
              <w:t>Develop cost-causation and customer-protection principles before project-specific disputes</w:t>
            </w:r>
          </w:p>
        </w:tc>
      </w:tr>
      <w:tr w:rsidR="007979B9" w14:paraId="0599BE45" w14:textId="77777777">
        <w:tc>
          <w:tcPr>
            <w:tcW w:w="1800" w:type="dxa"/>
            <w:tcBorders>
              <w:top w:val="nil"/>
              <w:left w:val="nil"/>
              <w:bottom w:val="nil"/>
              <w:right w:val="nil"/>
            </w:tcBorders>
            <w:shd w:val="clear" w:color="auto" w:fill="E6F2F0"/>
            <w:tcMar>
              <w:top w:w="0" w:type="dxa"/>
              <w:left w:w="108" w:type="dxa"/>
              <w:bottom w:w="0" w:type="dxa"/>
              <w:right w:w="108" w:type="dxa"/>
            </w:tcMar>
            <w:vAlign w:val="center"/>
            <w:hideMark/>
          </w:tcPr>
          <w:p w14:paraId="6C32E4DF" w14:textId="77777777" w:rsidR="007979B9" w:rsidRDefault="007979B9">
            <w:pPr>
              <w:spacing w:after="0"/>
              <w:jc w:val="center"/>
            </w:pPr>
            <w:r>
              <w:rPr>
                <w:color w:val="1B4B45"/>
                <w:sz w:val="15"/>
                <w:szCs w:val="15"/>
              </w:rPr>
              <w:t>Storage / flexibility</w:t>
            </w:r>
          </w:p>
        </w:tc>
        <w:tc>
          <w:tcPr>
            <w:tcW w:w="2880" w:type="dxa"/>
            <w:tcBorders>
              <w:top w:val="nil"/>
              <w:left w:val="nil"/>
              <w:bottom w:val="nil"/>
              <w:right w:val="nil"/>
            </w:tcBorders>
            <w:shd w:val="clear" w:color="auto" w:fill="E6F2F0"/>
            <w:tcMar>
              <w:top w:w="0" w:type="dxa"/>
              <w:left w:w="108" w:type="dxa"/>
              <w:bottom w:w="0" w:type="dxa"/>
              <w:right w:w="108" w:type="dxa"/>
            </w:tcMar>
            <w:vAlign w:val="center"/>
            <w:hideMark/>
          </w:tcPr>
          <w:p w14:paraId="77831D7E" w14:textId="77777777" w:rsidR="007979B9" w:rsidRDefault="007979B9">
            <w:pPr>
              <w:spacing w:after="0"/>
            </w:pPr>
            <w:r>
              <w:rPr>
                <w:color w:val="1B4B45"/>
                <w:sz w:val="15"/>
                <w:szCs w:val="15"/>
              </w:rPr>
              <w:t xml:space="preserve">Policy is broadening from targets to permitting authority, safety codes, </w:t>
            </w:r>
            <w:r>
              <w:rPr>
                <w:color w:val="1B4B45"/>
                <w:sz w:val="15"/>
                <w:szCs w:val="15"/>
              </w:rPr>
              <w:lastRenderedPageBreak/>
              <w:t>local moratoria, ownership and interconnection</w:t>
            </w:r>
          </w:p>
        </w:tc>
        <w:tc>
          <w:tcPr>
            <w:tcW w:w="3240" w:type="dxa"/>
            <w:tcBorders>
              <w:top w:val="nil"/>
              <w:left w:val="nil"/>
              <w:bottom w:val="nil"/>
              <w:right w:val="nil"/>
            </w:tcBorders>
            <w:shd w:val="clear" w:color="auto" w:fill="E6F2F0"/>
            <w:tcMar>
              <w:top w:w="0" w:type="dxa"/>
              <w:left w:w="108" w:type="dxa"/>
              <w:bottom w:w="0" w:type="dxa"/>
              <w:right w:w="108" w:type="dxa"/>
            </w:tcMar>
            <w:vAlign w:val="center"/>
            <w:hideMark/>
          </w:tcPr>
          <w:p w14:paraId="7C0F6CEC" w14:textId="77777777" w:rsidR="007979B9" w:rsidRDefault="007979B9">
            <w:pPr>
              <w:spacing w:after="0"/>
            </w:pPr>
            <w:r>
              <w:rPr>
                <w:color w:val="1B4B45"/>
                <w:sz w:val="15"/>
                <w:szCs w:val="15"/>
              </w:rPr>
              <w:lastRenderedPageBreak/>
              <w:t>13 states have enacted storage targets; siting authority remains fragmented, and local opposition can delay projects</w:t>
            </w:r>
          </w:p>
        </w:tc>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76D28734" w14:textId="77777777" w:rsidR="007979B9" w:rsidRDefault="007979B9">
            <w:pPr>
              <w:spacing w:after="0"/>
            </w:pPr>
            <w:r>
              <w:rPr>
                <w:color w:val="1B4B45"/>
                <w:sz w:val="15"/>
                <w:szCs w:val="15"/>
              </w:rPr>
              <w:t>Pair storage advocacy with safety, local-government and cost-recovery frameworks</w:t>
            </w:r>
          </w:p>
        </w:tc>
      </w:tr>
      <w:tr w:rsidR="007979B9" w14:paraId="39EA8458" w14:textId="77777777">
        <w:tc>
          <w:tcPr>
            <w:tcW w:w="1800" w:type="dxa"/>
            <w:tcBorders>
              <w:top w:val="nil"/>
              <w:left w:val="nil"/>
              <w:bottom w:val="nil"/>
              <w:right w:val="nil"/>
            </w:tcBorders>
            <w:tcMar>
              <w:top w:w="0" w:type="dxa"/>
              <w:left w:w="108" w:type="dxa"/>
              <w:bottom w:w="0" w:type="dxa"/>
              <w:right w:w="108" w:type="dxa"/>
            </w:tcMar>
            <w:vAlign w:val="center"/>
            <w:hideMark/>
          </w:tcPr>
          <w:p w14:paraId="76251197" w14:textId="77777777" w:rsidR="007979B9" w:rsidRDefault="007979B9">
            <w:pPr>
              <w:spacing w:after="0"/>
              <w:jc w:val="center"/>
            </w:pPr>
            <w:r>
              <w:rPr>
                <w:color w:val="1B4B45"/>
                <w:sz w:val="15"/>
                <w:szCs w:val="15"/>
              </w:rPr>
              <w:t>Climate Superfund</w:t>
            </w:r>
          </w:p>
        </w:tc>
        <w:tc>
          <w:tcPr>
            <w:tcW w:w="2880" w:type="dxa"/>
            <w:tcBorders>
              <w:top w:val="nil"/>
              <w:left w:val="nil"/>
              <w:bottom w:val="nil"/>
              <w:right w:val="nil"/>
            </w:tcBorders>
            <w:tcMar>
              <w:top w:w="0" w:type="dxa"/>
              <w:left w:w="108" w:type="dxa"/>
              <w:bottom w:w="0" w:type="dxa"/>
              <w:right w:w="108" w:type="dxa"/>
            </w:tcMar>
            <w:vAlign w:val="center"/>
            <w:hideMark/>
          </w:tcPr>
          <w:p w14:paraId="0720B45C" w14:textId="77777777" w:rsidR="007979B9" w:rsidRDefault="007979B9">
            <w:pPr>
              <w:spacing w:after="0"/>
            </w:pPr>
            <w:r>
              <w:rPr>
                <w:color w:val="1B4B45"/>
                <w:sz w:val="15"/>
                <w:szCs w:val="15"/>
              </w:rPr>
              <w:t>Polluter-pays models move climate adaptation costs to major fossil-fuel producers, with major constitutional and preemption litigation</w:t>
            </w:r>
          </w:p>
        </w:tc>
        <w:tc>
          <w:tcPr>
            <w:tcW w:w="3240" w:type="dxa"/>
            <w:tcBorders>
              <w:top w:val="nil"/>
              <w:left w:val="nil"/>
              <w:bottom w:val="nil"/>
              <w:right w:val="nil"/>
            </w:tcBorders>
            <w:tcMar>
              <w:top w:w="0" w:type="dxa"/>
              <w:left w:w="108" w:type="dxa"/>
              <w:bottom w:w="0" w:type="dxa"/>
              <w:right w:w="108" w:type="dxa"/>
            </w:tcMar>
            <w:vAlign w:val="center"/>
            <w:hideMark/>
          </w:tcPr>
          <w:p w14:paraId="0CB3F37C" w14:textId="77777777" w:rsidR="007979B9" w:rsidRDefault="007979B9">
            <w:pPr>
              <w:spacing w:after="0"/>
            </w:pPr>
            <w:r>
              <w:rPr>
                <w:color w:val="1B4B45"/>
                <w:sz w:val="15"/>
                <w:szCs w:val="15"/>
              </w:rPr>
              <w:t>Vermont and New York enacted laws in 2024; implementation and court challenges continue</w:t>
            </w:r>
          </w:p>
        </w:tc>
        <w:tc>
          <w:tcPr>
            <w:tcW w:w="3096" w:type="dxa"/>
            <w:tcBorders>
              <w:top w:val="nil"/>
              <w:left w:val="nil"/>
              <w:bottom w:val="nil"/>
              <w:right w:val="nil"/>
            </w:tcBorders>
            <w:tcMar>
              <w:top w:w="0" w:type="dxa"/>
              <w:left w:w="108" w:type="dxa"/>
              <w:bottom w:w="0" w:type="dxa"/>
              <w:right w:w="108" w:type="dxa"/>
            </w:tcMar>
            <w:vAlign w:val="center"/>
            <w:hideMark/>
          </w:tcPr>
          <w:p w14:paraId="6E908927" w14:textId="77777777" w:rsidR="007979B9" w:rsidRDefault="007979B9">
            <w:pPr>
              <w:spacing w:after="0"/>
            </w:pPr>
            <w:r>
              <w:rPr>
                <w:color w:val="1B4B45"/>
                <w:sz w:val="15"/>
                <w:szCs w:val="15"/>
              </w:rPr>
              <w:t>Treat Illinois proposals as part of a broader diffusion pathway with high legal uncertainty</w:t>
            </w:r>
          </w:p>
        </w:tc>
      </w:tr>
      <w:tr w:rsidR="007979B9" w14:paraId="6DE8F692" w14:textId="77777777">
        <w:tc>
          <w:tcPr>
            <w:tcW w:w="180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74E40273" w14:textId="77777777" w:rsidR="007979B9" w:rsidRDefault="007979B9">
            <w:pPr>
              <w:spacing w:after="0"/>
              <w:jc w:val="center"/>
            </w:pPr>
            <w:r>
              <w:rPr>
                <w:color w:val="1B4B45"/>
                <w:sz w:val="15"/>
                <w:szCs w:val="15"/>
              </w:rPr>
              <w:t>Transmission / siting</w:t>
            </w:r>
          </w:p>
        </w:tc>
        <w:tc>
          <w:tcPr>
            <w:tcW w:w="288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6A3EF7DA" w14:textId="77777777" w:rsidR="007979B9" w:rsidRDefault="007979B9">
            <w:pPr>
              <w:spacing w:after="0"/>
            </w:pPr>
            <w:r>
              <w:rPr>
                <w:color w:val="1B4B45"/>
                <w:sz w:val="15"/>
                <w:szCs w:val="15"/>
              </w:rPr>
              <w:t>States consolidate or preempt siting to reduce delays while balancing local authority</w:t>
            </w:r>
          </w:p>
        </w:tc>
        <w:tc>
          <w:tcPr>
            <w:tcW w:w="324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0CB74CA0" w14:textId="77777777" w:rsidR="007979B9" w:rsidRDefault="007979B9">
            <w:pPr>
              <w:spacing w:after="0"/>
            </w:pPr>
            <w:r>
              <w:rPr>
                <w:color w:val="1B4B45"/>
                <w:sz w:val="15"/>
                <w:szCs w:val="15"/>
              </w:rPr>
              <w:t>15 states have enacted consolidated siting/permitting authority meeting the dashboard definition</w:t>
            </w:r>
          </w:p>
        </w:tc>
        <w:tc>
          <w:tcPr>
            <w:tcW w:w="3096"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6F035536" w14:textId="77777777" w:rsidR="007979B9" w:rsidRDefault="007979B9">
            <w:pPr>
              <w:spacing w:after="0"/>
            </w:pPr>
            <w:r>
              <w:rPr>
                <w:color w:val="1B4B45"/>
                <w:sz w:val="15"/>
                <w:szCs w:val="15"/>
              </w:rPr>
              <w:t>Ownership and siting bills can determine pace, cost and competitive position of grid expansion</w:t>
            </w:r>
          </w:p>
        </w:tc>
      </w:tr>
    </w:tbl>
    <w:p w14:paraId="30C146F6" w14:textId="77777777" w:rsidR="003C0548" w:rsidRDefault="006F72DF">
      <w:pPr>
        <w:pStyle w:val="SourceNote"/>
      </w:pPr>
      <w:r>
        <w:t xml:space="preserve">External sources: </w:t>
      </w:r>
      <w:proofErr w:type="spellStart"/>
      <w:r>
        <w:t>MultiState</w:t>
      </w:r>
      <w:proofErr w:type="spellEnd"/>
      <w:r>
        <w:t xml:space="preserve">, State Data Center Policy 101 (updated July 17, 2026), https://www.multistate.us/resources/state-data-center-policy-101; The Terms of Power (March 2026), https://44409563.fs1.hubspotusercontent-na1.net/hubfs/44409563/Terms%20of%20Power_White%20Paper_260316.pdf; Climate </w:t>
      </w:r>
      <w:proofErr w:type="spellStart"/>
      <w:r>
        <w:t>XChange</w:t>
      </w:r>
      <w:proofErr w:type="spellEnd"/>
      <w:r>
        <w:t xml:space="preserve"> dashboards, https://www.climatepolicydashboard.org/policies/electricity/energy-storage-targets and /siting-permitting-authority; Georgetown Environmental Law Review, January 29, 2026, https://www.law.georgetown.edu/environmental-law-review/blog/the-pending-fate-of-climate-superfund-statutes/.</w:t>
      </w:r>
    </w:p>
    <w:p w14:paraId="2870EC60" w14:textId="77777777" w:rsidR="00E23FC0" w:rsidRDefault="00E23FC0" w:rsidP="00E23FC0">
      <w:pPr>
        <w:pStyle w:val="Heading2"/>
        <w:rPr>
          <w:color w:val="2F8577"/>
          <w:kern w:val="2"/>
          <w:szCs w:val="25"/>
          <w14:ligatures w14:val="standardContextual"/>
        </w:rPr>
      </w:pPr>
      <w:r>
        <w:rPr>
          <w:color w:val="2F8577"/>
        </w:rPr>
        <w:t>Data centers are the clearest cross-state leading indicator</w:t>
      </w:r>
    </w:p>
    <w:p w14:paraId="7B595353" w14:textId="77777777" w:rsidR="003C0548" w:rsidRDefault="006F72DF">
      <w:r>
        <w:t>The national policy architecture is settling around five recurring questions: (1) should large loads pay all directly attributable generation and grid costs; (2) should they accept minimum-demand or long-term service commitments; (3) what energy, water, emissions and cooling data must be disclosed; (4) who controls siting and local conditions; and (5) whether tax incentives should be conditioned on jobs, efficiency, clean supply and community benefits. Illinois bills already touch nearly all five.</w:t>
      </w:r>
    </w:p>
    <w:p w14:paraId="1FA8E432" w14:textId="77777777" w:rsidR="003C0548" w:rsidRDefault="006F72DF">
      <w:pPr>
        <w:pStyle w:val="SourceNote"/>
      </w:pPr>
      <w:r>
        <w:t xml:space="preserve">Sources: </w:t>
      </w:r>
      <w:proofErr w:type="spellStart"/>
      <w:r>
        <w:t>MultiState</w:t>
      </w:r>
      <w:proofErr w:type="spellEnd"/>
      <w:r>
        <w:t xml:space="preserve">, July 17, 2026, https://www.multistate.us/resources/state-data-center-policy-101; </w:t>
      </w:r>
      <w:proofErr w:type="spellStart"/>
      <w:r>
        <w:t>ArentFox</w:t>
      </w:r>
      <w:proofErr w:type="spellEnd"/>
      <w:r>
        <w:t xml:space="preserve"> Schiff, April 13, 2026, https://www.afslaw.com/perspectives/alerts/state-regulation-data-centers-2026-shifting-landscape.</w:t>
      </w:r>
    </w:p>
    <w:p w14:paraId="732FAFF7" w14:textId="77777777" w:rsidR="00E23FC0" w:rsidRDefault="00E23FC0" w:rsidP="00E23FC0">
      <w:pPr>
        <w:pStyle w:val="Heading1"/>
        <w:rPr>
          <w:color w:val="1B4B45"/>
          <w:kern w:val="36"/>
          <w:szCs w:val="34"/>
          <w14:ligatures w14:val="standardContextual"/>
        </w:rPr>
      </w:pPr>
      <w:r>
        <w:rPr>
          <w:color w:val="1B4B45"/>
        </w:rPr>
        <w:t>6. Persistence, Churn, and Early-Warning Value</w:t>
      </w:r>
    </w:p>
    <w:p w14:paraId="741BAC9F" w14:textId="77777777" w:rsidR="003C0548" w:rsidRDefault="006F72DF">
      <w:r>
        <w:t>Persistence is the key corrective to raw volume. Only 58 of 609 distinct subjects appear in more than one year, and only 13 recurring subjects remain active in 2026. The durable agenda is therefore much smaller than the headline count, but the low-persistence high-growth categories matter precisely because policy templates are still unsettled.</w:t>
      </w:r>
    </w:p>
    <w:tbl>
      <w:tblPr>
        <w:tblW w:w="0" w:type="auto"/>
        <w:tblCellMar>
          <w:left w:w="0" w:type="dxa"/>
          <w:right w:w="0" w:type="dxa"/>
        </w:tblCellMar>
        <w:tblLook w:val="04A0" w:firstRow="1" w:lastRow="0" w:firstColumn="1" w:lastColumn="0" w:noHBand="0" w:noVBand="1"/>
      </w:tblPr>
      <w:tblGrid>
        <w:gridCol w:w="2956"/>
        <w:gridCol w:w="974"/>
        <w:gridCol w:w="1068"/>
        <w:gridCol w:w="1085"/>
        <w:gridCol w:w="4083"/>
      </w:tblGrid>
      <w:tr w:rsidR="00CC6E2D" w14:paraId="671A183E" w14:textId="77777777">
        <w:tc>
          <w:tcPr>
            <w:tcW w:w="3096"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742A62D" w14:textId="77777777" w:rsidR="00CC6E2D" w:rsidRDefault="00CC6E2D">
            <w:pPr>
              <w:spacing w:after="0"/>
              <w:jc w:val="center"/>
              <w:rPr>
                <w:kern w:val="2"/>
                <w:szCs w:val="19"/>
                <w14:ligatures w14:val="standardContextual"/>
              </w:rPr>
            </w:pPr>
            <w:r>
              <w:rPr>
                <w:b/>
                <w:bCs/>
                <w:color w:val="FFFFFF"/>
                <w:sz w:val="16"/>
                <w:szCs w:val="16"/>
              </w:rPr>
              <w:t>Issue family</w:t>
            </w:r>
          </w:p>
        </w:tc>
        <w:tc>
          <w:tcPr>
            <w:tcW w:w="1008"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22EDC286" w14:textId="77777777" w:rsidR="00CC6E2D" w:rsidRDefault="00CC6E2D">
            <w:pPr>
              <w:spacing w:after="0"/>
              <w:jc w:val="center"/>
            </w:pPr>
            <w:r>
              <w:rPr>
                <w:b/>
                <w:bCs/>
                <w:color w:val="FFFFFF"/>
                <w:sz w:val="16"/>
                <w:szCs w:val="16"/>
              </w:rPr>
              <w:t>Total bills</w:t>
            </w:r>
          </w:p>
        </w:tc>
        <w:tc>
          <w:tcPr>
            <w:tcW w:w="108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164C4EAC" w14:textId="77777777" w:rsidR="00CC6E2D" w:rsidRDefault="00CC6E2D">
            <w:pPr>
              <w:spacing w:after="0"/>
              <w:jc w:val="center"/>
            </w:pPr>
            <w:r>
              <w:rPr>
                <w:b/>
                <w:bCs/>
                <w:color w:val="FFFFFF"/>
                <w:sz w:val="16"/>
                <w:szCs w:val="16"/>
              </w:rPr>
              <w:t>Recurring bills</w:t>
            </w:r>
          </w:p>
        </w:tc>
        <w:tc>
          <w:tcPr>
            <w:tcW w:w="108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872D49C" w14:textId="77777777" w:rsidR="00CC6E2D" w:rsidRDefault="00CC6E2D">
            <w:pPr>
              <w:spacing w:after="0"/>
              <w:jc w:val="center"/>
            </w:pPr>
            <w:r>
              <w:rPr>
                <w:b/>
                <w:bCs/>
                <w:color w:val="FFFFFF"/>
                <w:sz w:val="16"/>
                <w:szCs w:val="16"/>
              </w:rPr>
              <w:t>Persistence</w:t>
            </w:r>
          </w:p>
        </w:tc>
        <w:tc>
          <w:tcPr>
            <w:tcW w:w="432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38531A06" w14:textId="77777777" w:rsidR="00CC6E2D" w:rsidRDefault="00CC6E2D">
            <w:pPr>
              <w:spacing w:after="0"/>
              <w:jc w:val="center"/>
            </w:pPr>
            <w:r>
              <w:rPr>
                <w:b/>
                <w:bCs/>
                <w:color w:val="FFFFFF"/>
                <w:sz w:val="16"/>
                <w:szCs w:val="16"/>
              </w:rPr>
              <w:t>Strategic interpretation</w:t>
            </w:r>
          </w:p>
        </w:tc>
      </w:tr>
      <w:tr w:rsidR="00CC6E2D" w14:paraId="1E0915CE" w14:textId="77777777">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6F20E7F9" w14:textId="77777777" w:rsidR="00CC6E2D" w:rsidRDefault="00CC6E2D">
            <w:pPr>
              <w:spacing w:after="0"/>
              <w:jc w:val="center"/>
            </w:pPr>
            <w:r>
              <w:rPr>
                <w:color w:val="1B4B45"/>
                <w:sz w:val="16"/>
                <w:szCs w:val="16"/>
              </w:rPr>
              <w:t>Environmental Justice, Land &amp; Water</w:t>
            </w:r>
          </w:p>
        </w:tc>
        <w:tc>
          <w:tcPr>
            <w:tcW w:w="1008" w:type="dxa"/>
            <w:tcBorders>
              <w:top w:val="nil"/>
              <w:left w:val="nil"/>
              <w:bottom w:val="nil"/>
              <w:right w:val="nil"/>
            </w:tcBorders>
            <w:shd w:val="clear" w:color="auto" w:fill="E6F2F0"/>
            <w:tcMar>
              <w:top w:w="0" w:type="dxa"/>
              <w:left w:w="108" w:type="dxa"/>
              <w:bottom w:w="0" w:type="dxa"/>
              <w:right w:w="108" w:type="dxa"/>
            </w:tcMar>
            <w:vAlign w:val="center"/>
            <w:hideMark/>
          </w:tcPr>
          <w:p w14:paraId="5C703969" w14:textId="77777777" w:rsidR="00CC6E2D" w:rsidRDefault="00CC6E2D">
            <w:pPr>
              <w:spacing w:after="0"/>
            </w:pPr>
            <w:r>
              <w:rPr>
                <w:color w:val="1B4B45"/>
                <w:sz w:val="16"/>
                <w:szCs w:val="16"/>
              </w:rPr>
              <w:t>59</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58575805" w14:textId="77777777" w:rsidR="00CC6E2D" w:rsidRDefault="00CC6E2D">
            <w:pPr>
              <w:spacing w:after="0"/>
            </w:pPr>
            <w:r>
              <w:rPr>
                <w:color w:val="1B4B45"/>
                <w:sz w:val="16"/>
                <w:szCs w:val="16"/>
              </w:rPr>
              <w:t>25</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29D8A0B8" w14:textId="77777777" w:rsidR="00CC6E2D" w:rsidRDefault="00CC6E2D">
            <w:pPr>
              <w:spacing w:after="0"/>
            </w:pPr>
            <w:r>
              <w:rPr>
                <w:color w:val="1B4B45"/>
                <w:sz w:val="16"/>
                <w:szCs w:val="16"/>
              </w:rPr>
              <w:t>42.4%</w:t>
            </w:r>
          </w:p>
        </w:tc>
        <w:tc>
          <w:tcPr>
            <w:tcW w:w="4320" w:type="dxa"/>
            <w:tcBorders>
              <w:top w:val="nil"/>
              <w:left w:val="nil"/>
              <w:bottom w:val="nil"/>
              <w:right w:val="nil"/>
            </w:tcBorders>
            <w:shd w:val="clear" w:color="auto" w:fill="E6F2F0"/>
            <w:tcMar>
              <w:top w:w="0" w:type="dxa"/>
              <w:left w:w="108" w:type="dxa"/>
              <w:bottom w:w="0" w:type="dxa"/>
              <w:right w:w="108" w:type="dxa"/>
            </w:tcMar>
            <w:vAlign w:val="center"/>
            <w:hideMark/>
          </w:tcPr>
          <w:p w14:paraId="769A71B5" w14:textId="77777777" w:rsidR="00CC6E2D" w:rsidRDefault="00CC6E2D">
            <w:pPr>
              <w:spacing w:after="0"/>
            </w:pPr>
            <w:r>
              <w:rPr>
                <w:color w:val="1B4B45"/>
                <w:sz w:val="16"/>
                <w:szCs w:val="16"/>
              </w:rPr>
              <w:t>Mature and predictable; implementation details remain important</w:t>
            </w:r>
          </w:p>
        </w:tc>
      </w:tr>
      <w:tr w:rsidR="00CC6E2D" w14:paraId="27492943" w14:textId="77777777">
        <w:tc>
          <w:tcPr>
            <w:tcW w:w="3096" w:type="dxa"/>
            <w:tcBorders>
              <w:top w:val="nil"/>
              <w:left w:val="nil"/>
              <w:bottom w:val="nil"/>
              <w:right w:val="nil"/>
            </w:tcBorders>
            <w:tcMar>
              <w:top w:w="0" w:type="dxa"/>
              <w:left w:w="108" w:type="dxa"/>
              <w:bottom w:w="0" w:type="dxa"/>
              <w:right w:w="108" w:type="dxa"/>
            </w:tcMar>
            <w:vAlign w:val="center"/>
            <w:hideMark/>
          </w:tcPr>
          <w:p w14:paraId="5D964CC9" w14:textId="77777777" w:rsidR="00CC6E2D" w:rsidRDefault="00CC6E2D">
            <w:pPr>
              <w:spacing w:after="0"/>
              <w:jc w:val="center"/>
            </w:pPr>
            <w:r>
              <w:rPr>
                <w:color w:val="1B4B45"/>
                <w:sz w:val="16"/>
                <w:szCs w:val="16"/>
              </w:rPr>
              <w:t>Utility Rates, Affordability &amp; Cost Recovery</w:t>
            </w:r>
          </w:p>
        </w:tc>
        <w:tc>
          <w:tcPr>
            <w:tcW w:w="1008" w:type="dxa"/>
            <w:tcBorders>
              <w:top w:val="nil"/>
              <w:left w:val="nil"/>
              <w:bottom w:val="nil"/>
              <w:right w:val="nil"/>
            </w:tcBorders>
            <w:tcMar>
              <w:top w:w="0" w:type="dxa"/>
              <w:left w:w="108" w:type="dxa"/>
              <w:bottom w:w="0" w:type="dxa"/>
              <w:right w:w="108" w:type="dxa"/>
            </w:tcMar>
            <w:vAlign w:val="center"/>
            <w:hideMark/>
          </w:tcPr>
          <w:p w14:paraId="6A0CA9C3" w14:textId="77777777" w:rsidR="00CC6E2D" w:rsidRDefault="00CC6E2D">
            <w:pPr>
              <w:spacing w:after="0"/>
            </w:pPr>
            <w:r>
              <w:rPr>
                <w:color w:val="1B4B45"/>
                <w:sz w:val="16"/>
                <w:szCs w:val="16"/>
              </w:rPr>
              <w:t>33</w:t>
            </w:r>
          </w:p>
        </w:tc>
        <w:tc>
          <w:tcPr>
            <w:tcW w:w="1080" w:type="dxa"/>
            <w:tcBorders>
              <w:top w:val="nil"/>
              <w:left w:val="nil"/>
              <w:bottom w:val="nil"/>
              <w:right w:val="nil"/>
            </w:tcBorders>
            <w:tcMar>
              <w:top w:w="0" w:type="dxa"/>
              <w:left w:w="108" w:type="dxa"/>
              <w:bottom w:w="0" w:type="dxa"/>
              <w:right w:w="108" w:type="dxa"/>
            </w:tcMar>
            <w:vAlign w:val="center"/>
            <w:hideMark/>
          </w:tcPr>
          <w:p w14:paraId="02D98984" w14:textId="77777777" w:rsidR="00CC6E2D" w:rsidRDefault="00CC6E2D">
            <w:pPr>
              <w:spacing w:after="0"/>
            </w:pPr>
            <w:r>
              <w:rPr>
                <w:color w:val="1B4B45"/>
                <w:sz w:val="16"/>
                <w:szCs w:val="16"/>
              </w:rPr>
              <w:t>12</w:t>
            </w:r>
          </w:p>
        </w:tc>
        <w:tc>
          <w:tcPr>
            <w:tcW w:w="1080" w:type="dxa"/>
            <w:tcBorders>
              <w:top w:val="nil"/>
              <w:left w:val="nil"/>
              <w:bottom w:val="nil"/>
              <w:right w:val="nil"/>
            </w:tcBorders>
            <w:tcMar>
              <w:top w:w="0" w:type="dxa"/>
              <w:left w:w="108" w:type="dxa"/>
              <w:bottom w:w="0" w:type="dxa"/>
              <w:right w:w="108" w:type="dxa"/>
            </w:tcMar>
            <w:vAlign w:val="center"/>
            <w:hideMark/>
          </w:tcPr>
          <w:p w14:paraId="6E7D411A" w14:textId="77777777" w:rsidR="00CC6E2D" w:rsidRDefault="00CC6E2D">
            <w:pPr>
              <w:spacing w:after="0"/>
            </w:pPr>
            <w:r>
              <w:rPr>
                <w:color w:val="1B4B45"/>
                <w:sz w:val="16"/>
                <w:szCs w:val="16"/>
              </w:rPr>
              <w:t>36.4%</w:t>
            </w:r>
          </w:p>
        </w:tc>
        <w:tc>
          <w:tcPr>
            <w:tcW w:w="4320" w:type="dxa"/>
            <w:tcBorders>
              <w:top w:val="nil"/>
              <w:left w:val="nil"/>
              <w:bottom w:val="nil"/>
              <w:right w:val="nil"/>
            </w:tcBorders>
            <w:tcMar>
              <w:top w:w="0" w:type="dxa"/>
              <w:left w:w="108" w:type="dxa"/>
              <w:bottom w:w="0" w:type="dxa"/>
              <w:right w:w="108" w:type="dxa"/>
            </w:tcMar>
            <w:vAlign w:val="center"/>
            <w:hideMark/>
          </w:tcPr>
          <w:p w14:paraId="56376C78" w14:textId="77777777" w:rsidR="00CC6E2D" w:rsidRDefault="00CC6E2D">
            <w:pPr>
              <w:spacing w:after="0"/>
            </w:pPr>
            <w:r>
              <w:rPr>
                <w:color w:val="1B4B45"/>
                <w:sz w:val="16"/>
                <w:szCs w:val="16"/>
              </w:rPr>
              <w:t>Persistent and becoming more politically salient</w:t>
            </w:r>
          </w:p>
        </w:tc>
      </w:tr>
      <w:tr w:rsidR="00CC6E2D" w14:paraId="46919D34" w14:textId="77777777">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3CC0B7DF" w14:textId="77777777" w:rsidR="00CC6E2D" w:rsidRDefault="00CC6E2D">
            <w:pPr>
              <w:spacing w:after="0"/>
              <w:jc w:val="center"/>
            </w:pPr>
            <w:r>
              <w:rPr>
                <w:color w:val="1B4B45"/>
                <w:sz w:val="16"/>
                <w:szCs w:val="16"/>
              </w:rPr>
              <w:t>Transmission, Siting &amp; Interconnection</w:t>
            </w:r>
          </w:p>
        </w:tc>
        <w:tc>
          <w:tcPr>
            <w:tcW w:w="1008" w:type="dxa"/>
            <w:tcBorders>
              <w:top w:val="nil"/>
              <w:left w:val="nil"/>
              <w:bottom w:val="nil"/>
              <w:right w:val="nil"/>
            </w:tcBorders>
            <w:shd w:val="clear" w:color="auto" w:fill="E6F2F0"/>
            <w:tcMar>
              <w:top w:w="0" w:type="dxa"/>
              <w:left w:w="108" w:type="dxa"/>
              <w:bottom w:w="0" w:type="dxa"/>
              <w:right w:w="108" w:type="dxa"/>
            </w:tcMar>
            <w:vAlign w:val="center"/>
            <w:hideMark/>
          </w:tcPr>
          <w:p w14:paraId="485AB942" w14:textId="77777777" w:rsidR="00CC6E2D" w:rsidRDefault="00CC6E2D">
            <w:pPr>
              <w:spacing w:after="0"/>
            </w:pPr>
            <w:r>
              <w:rPr>
                <w:color w:val="1B4B45"/>
                <w:sz w:val="16"/>
                <w:szCs w:val="16"/>
              </w:rPr>
              <w:t>26</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5B81EB3F" w14:textId="77777777" w:rsidR="00CC6E2D" w:rsidRDefault="00CC6E2D">
            <w:pPr>
              <w:spacing w:after="0"/>
            </w:pPr>
            <w:r>
              <w:rPr>
                <w:color w:val="1B4B45"/>
                <w:sz w:val="16"/>
                <w:szCs w:val="16"/>
              </w:rPr>
              <w:t>7</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222ABAA9" w14:textId="77777777" w:rsidR="00CC6E2D" w:rsidRDefault="00CC6E2D">
            <w:pPr>
              <w:spacing w:after="0"/>
            </w:pPr>
            <w:r>
              <w:rPr>
                <w:color w:val="1B4B45"/>
                <w:sz w:val="16"/>
                <w:szCs w:val="16"/>
              </w:rPr>
              <w:t>26.9%</w:t>
            </w:r>
          </w:p>
        </w:tc>
        <w:tc>
          <w:tcPr>
            <w:tcW w:w="4320" w:type="dxa"/>
            <w:tcBorders>
              <w:top w:val="nil"/>
              <w:left w:val="nil"/>
              <w:bottom w:val="nil"/>
              <w:right w:val="nil"/>
            </w:tcBorders>
            <w:shd w:val="clear" w:color="auto" w:fill="E6F2F0"/>
            <w:tcMar>
              <w:top w:w="0" w:type="dxa"/>
              <w:left w:w="108" w:type="dxa"/>
              <w:bottom w:w="0" w:type="dxa"/>
              <w:right w:w="108" w:type="dxa"/>
            </w:tcMar>
            <w:vAlign w:val="center"/>
            <w:hideMark/>
          </w:tcPr>
          <w:p w14:paraId="5C47B903" w14:textId="77777777" w:rsidR="00CC6E2D" w:rsidRDefault="00CC6E2D">
            <w:pPr>
              <w:spacing w:after="0"/>
            </w:pPr>
            <w:r>
              <w:rPr>
                <w:color w:val="1B4B45"/>
                <w:sz w:val="16"/>
                <w:szCs w:val="16"/>
              </w:rPr>
              <w:t>Growing with a partially established policy history</w:t>
            </w:r>
          </w:p>
        </w:tc>
      </w:tr>
      <w:tr w:rsidR="00CC6E2D" w14:paraId="73C150B5" w14:textId="77777777">
        <w:tc>
          <w:tcPr>
            <w:tcW w:w="3096" w:type="dxa"/>
            <w:tcBorders>
              <w:top w:val="nil"/>
              <w:left w:val="nil"/>
              <w:bottom w:val="nil"/>
              <w:right w:val="nil"/>
            </w:tcBorders>
            <w:tcMar>
              <w:top w:w="0" w:type="dxa"/>
              <w:left w:w="108" w:type="dxa"/>
              <w:bottom w:w="0" w:type="dxa"/>
              <w:right w:w="108" w:type="dxa"/>
            </w:tcMar>
            <w:vAlign w:val="center"/>
            <w:hideMark/>
          </w:tcPr>
          <w:p w14:paraId="5B48AA0F" w14:textId="77777777" w:rsidR="00CC6E2D" w:rsidRDefault="00CC6E2D">
            <w:pPr>
              <w:spacing w:after="0"/>
              <w:jc w:val="center"/>
            </w:pPr>
            <w:r>
              <w:rPr>
                <w:color w:val="1B4B45"/>
                <w:sz w:val="16"/>
                <w:szCs w:val="16"/>
              </w:rPr>
              <w:t>Clean Energy Deployment</w:t>
            </w:r>
          </w:p>
        </w:tc>
        <w:tc>
          <w:tcPr>
            <w:tcW w:w="1008" w:type="dxa"/>
            <w:tcBorders>
              <w:top w:val="nil"/>
              <w:left w:val="nil"/>
              <w:bottom w:val="nil"/>
              <w:right w:val="nil"/>
            </w:tcBorders>
            <w:tcMar>
              <w:top w:w="0" w:type="dxa"/>
              <w:left w:w="108" w:type="dxa"/>
              <w:bottom w:w="0" w:type="dxa"/>
              <w:right w:w="108" w:type="dxa"/>
            </w:tcMar>
            <w:vAlign w:val="center"/>
            <w:hideMark/>
          </w:tcPr>
          <w:p w14:paraId="0DB0D6F2" w14:textId="77777777" w:rsidR="00CC6E2D" w:rsidRDefault="00CC6E2D">
            <w:pPr>
              <w:spacing w:after="0"/>
            </w:pPr>
            <w:r>
              <w:rPr>
                <w:color w:val="1B4B45"/>
                <w:sz w:val="16"/>
                <w:szCs w:val="16"/>
              </w:rPr>
              <w:t>102</w:t>
            </w:r>
          </w:p>
        </w:tc>
        <w:tc>
          <w:tcPr>
            <w:tcW w:w="1080" w:type="dxa"/>
            <w:tcBorders>
              <w:top w:val="nil"/>
              <w:left w:val="nil"/>
              <w:bottom w:val="nil"/>
              <w:right w:val="nil"/>
            </w:tcBorders>
            <w:tcMar>
              <w:top w:w="0" w:type="dxa"/>
              <w:left w:w="108" w:type="dxa"/>
              <w:bottom w:w="0" w:type="dxa"/>
              <w:right w:w="108" w:type="dxa"/>
            </w:tcMar>
            <w:vAlign w:val="center"/>
            <w:hideMark/>
          </w:tcPr>
          <w:p w14:paraId="5432BF0E" w14:textId="77777777" w:rsidR="00CC6E2D" w:rsidRDefault="00CC6E2D">
            <w:pPr>
              <w:spacing w:after="0"/>
            </w:pPr>
            <w:r>
              <w:rPr>
                <w:color w:val="1B4B45"/>
                <w:sz w:val="16"/>
                <w:szCs w:val="16"/>
              </w:rPr>
              <w:t>17</w:t>
            </w:r>
          </w:p>
        </w:tc>
        <w:tc>
          <w:tcPr>
            <w:tcW w:w="1080" w:type="dxa"/>
            <w:tcBorders>
              <w:top w:val="nil"/>
              <w:left w:val="nil"/>
              <w:bottom w:val="nil"/>
              <w:right w:val="nil"/>
            </w:tcBorders>
            <w:tcMar>
              <w:top w:w="0" w:type="dxa"/>
              <w:left w:w="108" w:type="dxa"/>
              <w:bottom w:w="0" w:type="dxa"/>
              <w:right w:w="108" w:type="dxa"/>
            </w:tcMar>
            <w:vAlign w:val="center"/>
            <w:hideMark/>
          </w:tcPr>
          <w:p w14:paraId="39D85E51" w14:textId="77777777" w:rsidR="00CC6E2D" w:rsidRDefault="00CC6E2D">
            <w:pPr>
              <w:spacing w:after="0"/>
            </w:pPr>
            <w:r>
              <w:rPr>
                <w:color w:val="1B4B45"/>
                <w:sz w:val="16"/>
                <w:szCs w:val="16"/>
              </w:rPr>
              <w:t>16.7%</w:t>
            </w:r>
          </w:p>
        </w:tc>
        <w:tc>
          <w:tcPr>
            <w:tcW w:w="4320" w:type="dxa"/>
            <w:tcBorders>
              <w:top w:val="nil"/>
              <w:left w:val="nil"/>
              <w:bottom w:val="nil"/>
              <w:right w:val="nil"/>
            </w:tcBorders>
            <w:tcMar>
              <w:top w:w="0" w:type="dxa"/>
              <w:left w:w="108" w:type="dxa"/>
              <w:bottom w:w="0" w:type="dxa"/>
              <w:right w:w="108" w:type="dxa"/>
            </w:tcMar>
            <w:vAlign w:val="center"/>
            <w:hideMark/>
          </w:tcPr>
          <w:p w14:paraId="3CA72849" w14:textId="77777777" w:rsidR="00CC6E2D" w:rsidRDefault="00CC6E2D">
            <w:pPr>
              <w:spacing w:after="0"/>
            </w:pPr>
            <w:r>
              <w:rPr>
                <w:color w:val="1B4B45"/>
                <w:sz w:val="16"/>
                <w:szCs w:val="16"/>
              </w:rPr>
              <w:t>Large but highly varied; many proposals are one-off</w:t>
            </w:r>
          </w:p>
        </w:tc>
      </w:tr>
      <w:tr w:rsidR="00CC6E2D" w14:paraId="12A24FD6" w14:textId="77777777">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5A4227F0" w14:textId="77777777" w:rsidR="00CC6E2D" w:rsidRDefault="00CC6E2D">
            <w:pPr>
              <w:spacing w:after="0"/>
              <w:jc w:val="center"/>
            </w:pPr>
            <w:r>
              <w:rPr>
                <w:color w:val="1B4B45"/>
                <w:sz w:val="16"/>
                <w:szCs w:val="16"/>
              </w:rPr>
              <w:t>Data Centers &amp; Large Loads</w:t>
            </w:r>
          </w:p>
        </w:tc>
        <w:tc>
          <w:tcPr>
            <w:tcW w:w="1008" w:type="dxa"/>
            <w:tcBorders>
              <w:top w:val="nil"/>
              <w:left w:val="nil"/>
              <w:bottom w:val="nil"/>
              <w:right w:val="nil"/>
            </w:tcBorders>
            <w:shd w:val="clear" w:color="auto" w:fill="E6F2F0"/>
            <w:tcMar>
              <w:top w:w="0" w:type="dxa"/>
              <w:left w:w="108" w:type="dxa"/>
              <w:bottom w:w="0" w:type="dxa"/>
              <w:right w:w="108" w:type="dxa"/>
            </w:tcMar>
            <w:vAlign w:val="center"/>
            <w:hideMark/>
          </w:tcPr>
          <w:p w14:paraId="37030984" w14:textId="77777777" w:rsidR="00CC6E2D" w:rsidRDefault="00CC6E2D">
            <w:pPr>
              <w:spacing w:after="0"/>
            </w:pPr>
            <w:r>
              <w:rPr>
                <w:color w:val="1B4B45"/>
                <w:sz w:val="16"/>
                <w:szCs w:val="16"/>
              </w:rPr>
              <w:t>13</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0A90D2F1" w14:textId="77777777" w:rsidR="00CC6E2D" w:rsidRDefault="00CC6E2D">
            <w:pPr>
              <w:spacing w:after="0"/>
            </w:pPr>
            <w:r>
              <w:rPr>
                <w:color w:val="1B4B45"/>
                <w:sz w:val="16"/>
                <w:szCs w:val="16"/>
              </w:rPr>
              <w:t>2</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70F90DB0" w14:textId="77777777" w:rsidR="00CC6E2D" w:rsidRDefault="00CC6E2D">
            <w:pPr>
              <w:spacing w:after="0"/>
            </w:pPr>
            <w:r>
              <w:rPr>
                <w:color w:val="1B4B45"/>
                <w:sz w:val="16"/>
                <w:szCs w:val="16"/>
              </w:rPr>
              <w:t>15.4%</w:t>
            </w:r>
          </w:p>
        </w:tc>
        <w:tc>
          <w:tcPr>
            <w:tcW w:w="4320" w:type="dxa"/>
            <w:tcBorders>
              <w:top w:val="nil"/>
              <w:left w:val="nil"/>
              <w:bottom w:val="nil"/>
              <w:right w:val="nil"/>
            </w:tcBorders>
            <w:shd w:val="clear" w:color="auto" w:fill="E6F2F0"/>
            <w:tcMar>
              <w:top w:w="0" w:type="dxa"/>
              <w:left w:w="108" w:type="dxa"/>
              <w:bottom w:w="0" w:type="dxa"/>
              <w:right w:w="108" w:type="dxa"/>
            </w:tcMar>
            <w:vAlign w:val="center"/>
            <w:hideMark/>
          </w:tcPr>
          <w:p w14:paraId="1D8F043D" w14:textId="77777777" w:rsidR="00CC6E2D" w:rsidRDefault="00CC6E2D">
            <w:pPr>
              <w:spacing w:after="0"/>
            </w:pPr>
            <w:r>
              <w:rPr>
                <w:color w:val="1B4B45"/>
                <w:sz w:val="16"/>
                <w:szCs w:val="16"/>
              </w:rPr>
              <w:t>Emerging; high leverage for early model development</w:t>
            </w:r>
          </w:p>
        </w:tc>
      </w:tr>
      <w:tr w:rsidR="00CC6E2D" w14:paraId="7AA63403" w14:textId="77777777">
        <w:tc>
          <w:tcPr>
            <w:tcW w:w="3096" w:type="dxa"/>
            <w:tcBorders>
              <w:top w:val="nil"/>
              <w:left w:val="nil"/>
              <w:bottom w:val="nil"/>
              <w:right w:val="nil"/>
            </w:tcBorders>
            <w:tcMar>
              <w:top w:w="0" w:type="dxa"/>
              <w:left w:w="108" w:type="dxa"/>
              <w:bottom w:w="0" w:type="dxa"/>
              <w:right w:w="108" w:type="dxa"/>
            </w:tcMar>
            <w:vAlign w:val="center"/>
            <w:hideMark/>
          </w:tcPr>
          <w:p w14:paraId="77DD76A4" w14:textId="77777777" w:rsidR="00CC6E2D" w:rsidRDefault="00CC6E2D">
            <w:pPr>
              <w:spacing w:after="0"/>
              <w:jc w:val="center"/>
            </w:pPr>
            <w:r>
              <w:rPr>
                <w:color w:val="1B4B45"/>
                <w:sz w:val="16"/>
                <w:szCs w:val="16"/>
              </w:rPr>
              <w:t>Energy Storage &amp; Flexibility</w:t>
            </w:r>
          </w:p>
        </w:tc>
        <w:tc>
          <w:tcPr>
            <w:tcW w:w="1008" w:type="dxa"/>
            <w:tcBorders>
              <w:top w:val="nil"/>
              <w:left w:val="nil"/>
              <w:bottom w:val="nil"/>
              <w:right w:val="nil"/>
            </w:tcBorders>
            <w:tcMar>
              <w:top w:w="0" w:type="dxa"/>
              <w:left w:w="108" w:type="dxa"/>
              <w:bottom w:w="0" w:type="dxa"/>
              <w:right w:w="108" w:type="dxa"/>
            </w:tcMar>
            <w:vAlign w:val="center"/>
            <w:hideMark/>
          </w:tcPr>
          <w:p w14:paraId="061D70BC" w14:textId="77777777" w:rsidR="00CC6E2D" w:rsidRDefault="00CC6E2D">
            <w:pPr>
              <w:spacing w:after="0"/>
            </w:pPr>
            <w:r>
              <w:rPr>
                <w:color w:val="1B4B45"/>
                <w:sz w:val="16"/>
                <w:szCs w:val="16"/>
              </w:rPr>
              <w:t>17</w:t>
            </w:r>
          </w:p>
        </w:tc>
        <w:tc>
          <w:tcPr>
            <w:tcW w:w="1080" w:type="dxa"/>
            <w:tcBorders>
              <w:top w:val="nil"/>
              <w:left w:val="nil"/>
              <w:bottom w:val="nil"/>
              <w:right w:val="nil"/>
            </w:tcBorders>
            <w:tcMar>
              <w:top w:w="0" w:type="dxa"/>
              <w:left w:w="108" w:type="dxa"/>
              <w:bottom w:w="0" w:type="dxa"/>
              <w:right w:w="108" w:type="dxa"/>
            </w:tcMar>
            <w:vAlign w:val="center"/>
            <w:hideMark/>
          </w:tcPr>
          <w:p w14:paraId="327A9937" w14:textId="77777777" w:rsidR="00CC6E2D" w:rsidRDefault="00CC6E2D">
            <w:pPr>
              <w:spacing w:after="0"/>
            </w:pPr>
            <w:r>
              <w:rPr>
                <w:color w:val="1B4B45"/>
                <w:sz w:val="16"/>
                <w:szCs w:val="16"/>
              </w:rPr>
              <w:t>2</w:t>
            </w:r>
          </w:p>
        </w:tc>
        <w:tc>
          <w:tcPr>
            <w:tcW w:w="1080" w:type="dxa"/>
            <w:tcBorders>
              <w:top w:val="nil"/>
              <w:left w:val="nil"/>
              <w:bottom w:val="nil"/>
              <w:right w:val="nil"/>
            </w:tcBorders>
            <w:tcMar>
              <w:top w:w="0" w:type="dxa"/>
              <w:left w:w="108" w:type="dxa"/>
              <w:bottom w:w="0" w:type="dxa"/>
              <w:right w:w="108" w:type="dxa"/>
            </w:tcMar>
            <w:vAlign w:val="center"/>
            <w:hideMark/>
          </w:tcPr>
          <w:p w14:paraId="2454A04F" w14:textId="77777777" w:rsidR="00CC6E2D" w:rsidRDefault="00CC6E2D">
            <w:pPr>
              <w:spacing w:after="0"/>
            </w:pPr>
            <w:r>
              <w:rPr>
                <w:color w:val="1B4B45"/>
                <w:sz w:val="16"/>
                <w:szCs w:val="16"/>
              </w:rPr>
              <w:t>11.8%</w:t>
            </w:r>
          </w:p>
        </w:tc>
        <w:tc>
          <w:tcPr>
            <w:tcW w:w="4320" w:type="dxa"/>
            <w:tcBorders>
              <w:top w:val="nil"/>
              <w:left w:val="nil"/>
              <w:bottom w:val="nil"/>
              <w:right w:val="nil"/>
            </w:tcBorders>
            <w:tcMar>
              <w:top w:w="0" w:type="dxa"/>
              <w:left w:w="108" w:type="dxa"/>
              <w:bottom w:w="0" w:type="dxa"/>
              <w:right w:w="108" w:type="dxa"/>
            </w:tcMar>
            <w:vAlign w:val="center"/>
            <w:hideMark/>
          </w:tcPr>
          <w:p w14:paraId="5D96BB8F" w14:textId="77777777" w:rsidR="00CC6E2D" w:rsidRDefault="00CC6E2D">
            <w:pPr>
              <w:spacing w:after="0"/>
            </w:pPr>
            <w:r>
              <w:rPr>
                <w:color w:val="1B4B45"/>
                <w:sz w:val="16"/>
                <w:szCs w:val="16"/>
              </w:rPr>
              <w:t>Fast-growing with limited precedent</w:t>
            </w:r>
          </w:p>
        </w:tc>
      </w:tr>
      <w:tr w:rsidR="00CC6E2D" w14:paraId="5E2593A0" w14:textId="77777777">
        <w:tc>
          <w:tcPr>
            <w:tcW w:w="3096" w:type="dxa"/>
            <w:tcBorders>
              <w:top w:val="nil"/>
              <w:left w:val="nil"/>
              <w:bottom w:val="nil"/>
              <w:right w:val="nil"/>
            </w:tcBorders>
            <w:shd w:val="clear" w:color="auto" w:fill="E6F2F0"/>
            <w:tcMar>
              <w:top w:w="0" w:type="dxa"/>
              <w:left w:w="108" w:type="dxa"/>
              <w:bottom w:w="0" w:type="dxa"/>
              <w:right w:w="108" w:type="dxa"/>
            </w:tcMar>
            <w:vAlign w:val="center"/>
            <w:hideMark/>
          </w:tcPr>
          <w:p w14:paraId="552659D7" w14:textId="77777777" w:rsidR="00CC6E2D" w:rsidRDefault="00CC6E2D">
            <w:pPr>
              <w:spacing w:after="0"/>
              <w:jc w:val="center"/>
            </w:pPr>
            <w:r>
              <w:rPr>
                <w:color w:val="1B4B45"/>
                <w:sz w:val="16"/>
                <w:szCs w:val="16"/>
              </w:rPr>
              <w:t>Utility Operations &amp; Governance</w:t>
            </w:r>
          </w:p>
        </w:tc>
        <w:tc>
          <w:tcPr>
            <w:tcW w:w="1008" w:type="dxa"/>
            <w:tcBorders>
              <w:top w:val="nil"/>
              <w:left w:val="nil"/>
              <w:bottom w:val="nil"/>
              <w:right w:val="nil"/>
            </w:tcBorders>
            <w:shd w:val="clear" w:color="auto" w:fill="E6F2F0"/>
            <w:tcMar>
              <w:top w:w="0" w:type="dxa"/>
              <w:left w:w="108" w:type="dxa"/>
              <w:bottom w:w="0" w:type="dxa"/>
              <w:right w:w="108" w:type="dxa"/>
            </w:tcMar>
            <w:vAlign w:val="center"/>
            <w:hideMark/>
          </w:tcPr>
          <w:p w14:paraId="3B516599" w14:textId="77777777" w:rsidR="00CC6E2D" w:rsidRDefault="00CC6E2D">
            <w:pPr>
              <w:spacing w:after="0"/>
            </w:pPr>
            <w:r>
              <w:rPr>
                <w:color w:val="1B4B45"/>
                <w:sz w:val="16"/>
                <w:szCs w:val="16"/>
              </w:rPr>
              <w:t>71</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3CB365EA" w14:textId="77777777" w:rsidR="00CC6E2D" w:rsidRDefault="00CC6E2D">
            <w:pPr>
              <w:spacing w:after="0"/>
            </w:pPr>
            <w:r>
              <w:rPr>
                <w:color w:val="1B4B45"/>
                <w:sz w:val="16"/>
                <w:szCs w:val="16"/>
              </w:rPr>
              <w:t>5</w:t>
            </w:r>
          </w:p>
        </w:tc>
        <w:tc>
          <w:tcPr>
            <w:tcW w:w="1080" w:type="dxa"/>
            <w:tcBorders>
              <w:top w:val="nil"/>
              <w:left w:val="nil"/>
              <w:bottom w:val="nil"/>
              <w:right w:val="nil"/>
            </w:tcBorders>
            <w:shd w:val="clear" w:color="auto" w:fill="E6F2F0"/>
            <w:tcMar>
              <w:top w:w="0" w:type="dxa"/>
              <w:left w:w="108" w:type="dxa"/>
              <w:bottom w:w="0" w:type="dxa"/>
              <w:right w:w="108" w:type="dxa"/>
            </w:tcMar>
            <w:vAlign w:val="center"/>
            <w:hideMark/>
          </w:tcPr>
          <w:p w14:paraId="495998D9" w14:textId="77777777" w:rsidR="00CC6E2D" w:rsidRDefault="00CC6E2D">
            <w:pPr>
              <w:spacing w:after="0"/>
            </w:pPr>
            <w:r>
              <w:rPr>
                <w:color w:val="1B4B45"/>
                <w:sz w:val="16"/>
                <w:szCs w:val="16"/>
              </w:rPr>
              <w:t>7.0%</w:t>
            </w:r>
          </w:p>
        </w:tc>
        <w:tc>
          <w:tcPr>
            <w:tcW w:w="4320" w:type="dxa"/>
            <w:tcBorders>
              <w:top w:val="nil"/>
              <w:left w:val="nil"/>
              <w:bottom w:val="nil"/>
              <w:right w:val="nil"/>
            </w:tcBorders>
            <w:shd w:val="clear" w:color="auto" w:fill="E6F2F0"/>
            <w:tcMar>
              <w:top w:w="0" w:type="dxa"/>
              <w:left w:w="108" w:type="dxa"/>
              <w:bottom w:w="0" w:type="dxa"/>
              <w:right w:w="108" w:type="dxa"/>
            </w:tcMar>
            <w:vAlign w:val="center"/>
            <w:hideMark/>
          </w:tcPr>
          <w:p w14:paraId="0D49AAAE" w14:textId="77777777" w:rsidR="00CC6E2D" w:rsidRDefault="00CC6E2D">
            <w:pPr>
              <w:spacing w:after="0"/>
            </w:pPr>
            <w:r>
              <w:rPr>
                <w:color w:val="1B4B45"/>
                <w:sz w:val="16"/>
                <w:szCs w:val="16"/>
              </w:rPr>
              <w:t>Rapid innovation in governance and operating requirements</w:t>
            </w:r>
          </w:p>
        </w:tc>
      </w:tr>
      <w:tr w:rsidR="00CC6E2D" w14:paraId="51D1F7FC" w14:textId="77777777">
        <w:tc>
          <w:tcPr>
            <w:tcW w:w="3096" w:type="dxa"/>
            <w:tcBorders>
              <w:top w:val="nil"/>
              <w:left w:val="nil"/>
              <w:bottom w:val="single" w:sz="8" w:space="0" w:color="2F8577"/>
              <w:right w:val="nil"/>
            </w:tcBorders>
            <w:tcMar>
              <w:top w:w="0" w:type="dxa"/>
              <w:left w:w="108" w:type="dxa"/>
              <w:bottom w:w="0" w:type="dxa"/>
              <w:right w:w="108" w:type="dxa"/>
            </w:tcMar>
            <w:vAlign w:val="center"/>
            <w:hideMark/>
          </w:tcPr>
          <w:p w14:paraId="629D46BA" w14:textId="77777777" w:rsidR="00CC6E2D" w:rsidRDefault="00CC6E2D">
            <w:pPr>
              <w:spacing w:after="0"/>
              <w:jc w:val="center"/>
            </w:pPr>
            <w:r>
              <w:rPr>
                <w:color w:val="1B4B45"/>
                <w:sz w:val="16"/>
                <w:szCs w:val="16"/>
              </w:rPr>
              <w:t>Cybersecurity, Privacy &amp; AI</w:t>
            </w:r>
          </w:p>
        </w:tc>
        <w:tc>
          <w:tcPr>
            <w:tcW w:w="1008" w:type="dxa"/>
            <w:tcBorders>
              <w:top w:val="nil"/>
              <w:left w:val="nil"/>
              <w:bottom w:val="single" w:sz="8" w:space="0" w:color="2F8577"/>
              <w:right w:val="nil"/>
            </w:tcBorders>
            <w:tcMar>
              <w:top w:w="0" w:type="dxa"/>
              <w:left w:w="108" w:type="dxa"/>
              <w:bottom w:w="0" w:type="dxa"/>
              <w:right w:w="108" w:type="dxa"/>
            </w:tcMar>
            <w:vAlign w:val="center"/>
            <w:hideMark/>
          </w:tcPr>
          <w:p w14:paraId="46AF3319" w14:textId="77777777" w:rsidR="00CC6E2D" w:rsidRDefault="00CC6E2D">
            <w:pPr>
              <w:spacing w:after="0"/>
            </w:pPr>
            <w:r>
              <w:rPr>
                <w:color w:val="1B4B45"/>
                <w:sz w:val="16"/>
                <w:szCs w:val="16"/>
              </w:rPr>
              <w:t>38</w:t>
            </w:r>
          </w:p>
        </w:tc>
        <w:tc>
          <w:tcPr>
            <w:tcW w:w="1080" w:type="dxa"/>
            <w:tcBorders>
              <w:top w:val="nil"/>
              <w:left w:val="nil"/>
              <w:bottom w:val="single" w:sz="8" w:space="0" w:color="2F8577"/>
              <w:right w:val="nil"/>
            </w:tcBorders>
            <w:tcMar>
              <w:top w:w="0" w:type="dxa"/>
              <w:left w:w="108" w:type="dxa"/>
              <w:bottom w:w="0" w:type="dxa"/>
              <w:right w:w="108" w:type="dxa"/>
            </w:tcMar>
            <w:vAlign w:val="center"/>
            <w:hideMark/>
          </w:tcPr>
          <w:p w14:paraId="4A4824A4" w14:textId="77777777" w:rsidR="00CC6E2D" w:rsidRDefault="00CC6E2D">
            <w:pPr>
              <w:spacing w:after="0"/>
            </w:pPr>
            <w:r>
              <w:rPr>
                <w:color w:val="1B4B45"/>
                <w:sz w:val="16"/>
                <w:szCs w:val="16"/>
              </w:rPr>
              <w:t>2</w:t>
            </w:r>
          </w:p>
        </w:tc>
        <w:tc>
          <w:tcPr>
            <w:tcW w:w="1080" w:type="dxa"/>
            <w:tcBorders>
              <w:top w:val="nil"/>
              <w:left w:val="nil"/>
              <w:bottom w:val="single" w:sz="8" w:space="0" w:color="2F8577"/>
              <w:right w:val="nil"/>
            </w:tcBorders>
            <w:tcMar>
              <w:top w:w="0" w:type="dxa"/>
              <w:left w:w="108" w:type="dxa"/>
              <w:bottom w:w="0" w:type="dxa"/>
              <w:right w:w="108" w:type="dxa"/>
            </w:tcMar>
            <w:vAlign w:val="center"/>
            <w:hideMark/>
          </w:tcPr>
          <w:p w14:paraId="4CB28A42" w14:textId="77777777" w:rsidR="00CC6E2D" w:rsidRDefault="00CC6E2D">
            <w:pPr>
              <w:spacing w:after="0"/>
            </w:pPr>
            <w:r>
              <w:rPr>
                <w:color w:val="1B4B45"/>
                <w:sz w:val="16"/>
                <w:szCs w:val="16"/>
              </w:rPr>
              <w:t>5.3%</w:t>
            </w:r>
          </w:p>
        </w:tc>
        <w:tc>
          <w:tcPr>
            <w:tcW w:w="4320" w:type="dxa"/>
            <w:tcBorders>
              <w:top w:val="nil"/>
              <w:left w:val="nil"/>
              <w:bottom w:val="single" w:sz="8" w:space="0" w:color="2F8577"/>
              <w:right w:val="nil"/>
            </w:tcBorders>
            <w:tcMar>
              <w:top w:w="0" w:type="dxa"/>
              <w:left w:w="108" w:type="dxa"/>
              <w:bottom w:w="0" w:type="dxa"/>
              <w:right w:w="108" w:type="dxa"/>
            </w:tcMar>
            <w:vAlign w:val="center"/>
            <w:hideMark/>
          </w:tcPr>
          <w:p w14:paraId="786EE848" w14:textId="77777777" w:rsidR="00CC6E2D" w:rsidRDefault="00CC6E2D">
            <w:pPr>
              <w:spacing w:after="0"/>
            </w:pPr>
            <w:r>
              <w:rPr>
                <w:color w:val="1B4B45"/>
                <w:sz w:val="16"/>
                <w:szCs w:val="16"/>
              </w:rPr>
              <w:t>Agenda is being written now; incident risk can accelerate mandates</w:t>
            </w:r>
          </w:p>
        </w:tc>
      </w:tr>
    </w:tbl>
    <w:p w14:paraId="6610399A" w14:textId="77777777" w:rsidR="003C0548" w:rsidRDefault="006F72DF">
      <w:pPr>
        <w:pStyle w:val="SourceNote"/>
      </w:pPr>
      <w:r>
        <w:t>Internal source: Executive Brief persistence analysis and Brief Data sheet in 2026 Bill Trends Report 2.xlsx.</w:t>
      </w:r>
    </w:p>
    <w:p w14:paraId="0D43DD08" w14:textId="77777777" w:rsidR="00E23FC0" w:rsidRDefault="00E23FC0" w:rsidP="00E23FC0">
      <w:pPr>
        <w:pStyle w:val="Heading1"/>
        <w:rPr>
          <w:color w:val="1B4B45"/>
          <w:kern w:val="36"/>
          <w:szCs w:val="34"/>
          <w14:ligatures w14:val="standardContextual"/>
        </w:rPr>
      </w:pPr>
      <w:r>
        <w:rPr>
          <w:color w:val="1B4B45"/>
        </w:rPr>
        <w:t>7. Political R&amp;D Priorities</w:t>
      </w:r>
    </w:p>
    <w:tbl>
      <w:tblPr>
        <w:tblW w:w="10164" w:type="dxa"/>
        <w:tblCellMar>
          <w:left w:w="0" w:type="dxa"/>
          <w:right w:w="0" w:type="dxa"/>
        </w:tblCellMar>
        <w:tblLook w:val="04A0" w:firstRow="1" w:lastRow="0" w:firstColumn="1" w:lastColumn="0" w:noHBand="0" w:noVBand="1"/>
      </w:tblPr>
      <w:tblGrid>
        <w:gridCol w:w="2528"/>
        <w:gridCol w:w="6"/>
        <w:gridCol w:w="2528"/>
        <w:gridCol w:w="15"/>
        <w:gridCol w:w="2513"/>
        <w:gridCol w:w="21"/>
        <w:gridCol w:w="2514"/>
        <w:gridCol w:w="39"/>
      </w:tblGrid>
      <w:tr w:rsidR="00042ABB" w14:paraId="3EFC98CD" w14:textId="77777777">
        <w:tc>
          <w:tcPr>
            <w:tcW w:w="2541" w:type="dxa"/>
            <w:gridSpan w:val="2"/>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26C6671" w14:textId="77777777" w:rsidR="00042ABB" w:rsidRDefault="00042ABB">
            <w:pPr>
              <w:spacing w:after="0"/>
              <w:jc w:val="center"/>
              <w:rPr>
                <w:kern w:val="2"/>
                <w:szCs w:val="19"/>
                <w14:ligatures w14:val="standardContextual"/>
              </w:rPr>
            </w:pPr>
            <w:r>
              <w:rPr>
                <w:b/>
                <w:bCs/>
                <w:color w:val="FFFFFF"/>
                <w:sz w:val="15"/>
                <w:szCs w:val="15"/>
              </w:rPr>
              <w:t>Priority</w:t>
            </w:r>
          </w:p>
        </w:tc>
        <w:tc>
          <w:tcPr>
            <w:tcW w:w="2541" w:type="dxa"/>
            <w:gridSpan w:val="2"/>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13A29CAC" w14:textId="77777777" w:rsidR="00042ABB" w:rsidRDefault="00042ABB">
            <w:pPr>
              <w:spacing w:after="0"/>
              <w:jc w:val="center"/>
            </w:pPr>
            <w:r>
              <w:rPr>
                <w:b/>
                <w:bCs/>
                <w:color w:val="FFFFFF"/>
                <w:sz w:val="15"/>
                <w:szCs w:val="15"/>
              </w:rPr>
              <w:t>Research question</w:t>
            </w:r>
          </w:p>
        </w:tc>
        <w:tc>
          <w:tcPr>
            <w:tcW w:w="2541" w:type="dxa"/>
            <w:gridSpan w:val="2"/>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60613EFD" w14:textId="77777777" w:rsidR="00042ABB" w:rsidRDefault="00042ABB">
            <w:pPr>
              <w:spacing w:after="0"/>
              <w:jc w:val="center"/>
            </w:pPr>
            <w:proofErr w:type="gramStart"/>
            <w:r>
              <w:rPr>
                <w:b/>
                <w:bCs/>
                <w:color w:val="FFFFFF"/>
                <w:sz w:val="15"/>
                <w:szCs w:val="15"/>
              </w:rPr>
              <w:t>30-90 day</w:t>
            </w:r>
            <w:proofErr w:type="gramEnd"/>
            <w:r>
              <w:rPr>
                <w:b/>
                <w:bCs/>
                <w:color w:val="FFFFFF"/>
                <w:sz w:val="15"/>
                <w:szCs w:val="15"/>
              </w:rPr>
              <w:t xml:space="preserve"> output</w:t>
            </w:r>
          </w:p>
        </w:tc>
        <w:tc>
          <w:tcPr>
            <w:tcW w:w="2541" w:type="dxa"/>
            <w:gridSpan w:val="2"/>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DBA4BDA" w14:textId="77777777" w:rsidR="00042ABB" w:rsidRDefault="00042ABB">
            <w:pPr>
              <w:spacing w:after="0"/>
              <w:jc w:val="center"/>
            </w:pPr>
            <w:r>
              <w:rPr>
                <w:b/>
                <w:bCs/>
                <w:color w:val="FFFFFF"/>
                <w:sz w:val="15"/>
                <w:szCs w:val="15"/>
              </w:rPr>
              <w:t>Trigger to escalate</w:t>
            </w:r>
          </w:p>
        </w:tc>
      </w:tr>
      <w:tr w:rsidR="00042ABB" w14:paraId="25F54053" w14:textId="77777777">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7B7EC98F" w14:textId="77777777" w:rsidR="00042ABB" w:rsidRDefault="00042ABB">
            <w:pPr>
              <w:spacing w:after="0"/>
              <w:jc w:val="center"/>
            </w:pPr>
            <w:r>
              <w:rPr>
                <w:color w:val="1B4B45"/>
                <w:sz w:val="15"/>
                <w:szCs w:val="15"/>
              </w:rPr>
              <w:t>1. Large-load compact</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4A077207" w14:textId="77777777" w:rsidR="00042ABB" w:rsidRDefault="00042ABB">
            <w:pPr>
              <w:spacing w:after="0"/>
            </w:pPr>
            <w:r>
              <w:rPr>
                <w:color w:val="1B4B45"/>
                <w:sz w:val="15"/>
                <w:szCs w:val="15"/>
              </w:rPr>
              <w:t>What conditions make new load additive rather than cost-shifting?</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1AAE52C8" w14:textId="77777777" w:rsidR="00042ABB" w:rsidRDefault="00042ABB">
            <w:pPr>
              <w:spacing w:after="0"/>
            </w:pPr>
            <w:r>
              <w:rPr>
                <w:color w:val="1B4B45"/>
                <w:sz w:val="15"/>
                <w:szCs w:val="15"/>
              </w:rPr>
              <w:t>Model tariff principles; self-supply and firm-capacity scenarios; water/cooling and CBA options</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2CAA8D23" w14:textId="77777777" w:rsidR="00042ABB" w:rsidRDefault="00042ABB">
            <w:pPr>
              <w:spacing w:after="0"/>
            </w:pPr>
            <w:r>
              <w:rPr>
                <w:color w:val="1B4B45"/>
                <w:sz w:val="15"/>
                <w:szCs w:val="15"/>
              </w:rPr>
              <w:t>Major project announcement, tariff filing, or omnibus amendment</w:t>
            </w:r>
          </w:p>
        </w:tc>
      </w:tr>
      <w:tr w:rsidR="00042ABB" w14:paraId="252CBB97" w14:textId="77777777">
        <w:tc>
          <w:tcPr>
            <w:tcW w:w="2541" w:type="dxa"/>
            <w:gridSpan w:val="2"/>
            <w:tcBorders>
              <w:top w:val="nil"/>
              <w:left w:val="nil"/>
              <w:bottom w:val="nil"/>
              <w:right w:val="nil"/>
            </w:tcBorders>
            <w:tcMar>
              <w:top w:w="0" w:type="dxa"/>
              <w:left w:w="108" w:type="dxa"/>
              <w:bottom w:w="0" w:type="dxa"/>
              <w:right w:w="108" w:type="dxa"/>
            </w:tcMar>
            <w:vAlign w:val="center"/>
            <w:hideMark/>
          </w:tcPr>
          <w:p w14:paraId="4CB16401" w14:textId="77777777" w:rsidR="00042ABB" w:rsidRDefault="00042ABB">
            <w:pPr>
              <w:spacing w:after="0"/>
              <w:jc w:val="center"/>
            </w:pPr>
            <w:r>
              <w:rPr>
                <w:color w:val="1B4B45"/>
                <w:sz w:val="15"/>
                <w:szCs w:val="15"/>
              </w:rPr>
              <w:t>2. Affordability architecture</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4C564883" w14:textId="77777777" w:rsidR="00042ABB" w:rsidRDefault="00042ABB">
            <w:pPr>
              <w:spacing w:after="0"/>
            </w:pPr>
            <w:r>
              <w:rPr>
                <w:color w:val="1B4B45"/>
                <w:sz w:val="15"/>
                <w:szCs w:val="15"/>
              </w:rPr>
              <w:t>Which protections preserve recovery while addressing household burden?</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2528B4BD" w14:textId="77777777" w:rsidR="00042ABB" w:rsidRDefault="00042ABB">
            <w:pPr>
              <w:spacing w:after="0"/>
            </w:pPr>
            <w:r>
              <w:rPr>
                <w:color w:val="1B4B45"/>
                <w:sz w:val="15"/>
                <w:szCs w:val="15"/>
              </w:rPr>
              <w:t>Stress test low-income rates, caps, freezes, bill credits and cost-benefit mandates</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25AA86C3" w14:textId="77777777" w:rsidR="00042ABB" w:rsidRDefault="00042ABB">
            <w:pPr>
              <w:spacing w:after="0"/>
            </w:pPr>
            <w:r>
              <w:rPr>
                <w:color w:val="1B4B45"/>
                <w:sz w:val="15"/>
                <w:szCs w:val="15"/>
              </w:rPr>
              <w:t>Rate case, summer bill shock, or high-profile disconnection data</w:t>
            </w:r>
          </w:p>
          <w:p w14:paraId="1A00A0FD" w14:textId="77777777" w:rsidR="00042ABB" w:rsidRDefault="00042ABB">
            <w:pPr>
              <w:spacing w:after="0"/>
            </w:pPr>
            <w:r>
              <w:rPr>
                <w:b/>
                <w:bCs/>
                <w:color w:val="1B4B45"/>
              </w:rPr>
              <w:t>Affordability implications:</w:t>
            </w:r>
            <w:r>
              <w:rPr>
                <w:color w:val="1B4B45"/>
              </w:rPr>
              <w:t xml:space="preserve"> Affordability should be treated as a strategic risk, </w:t>
            </w:r>
            <w:r>
              <w:rPr>
                <w:color w:val="1B4B45"/>
              </w:rPr>
              <w:lastRenderedPageBreak/>
              <w:t>not only a customer issue. If household bills rise while large-load projects, grid upgrades, or clean-energy investments advance, opponents can frame necessary infrastructure as unfair cost shifting. National rate pressure reinforces this risk: utilities requested $18.6 billion in electric and gas rate increases in the first half of 2026, and consumer-policy groups are increasingly linking rate hikes to data-center demand, infrastructure spending, and household burden. For Illinois, the practical implication is that cost recovery proposals need a clear fairness architecture: direct assignment of large-load costs where appropriate, transparent benefits for all customers, targeted low-income protections, and a narrative that explains how investment supports reliability and long-term affordability rather than simply increasing bills.</w:t>
            </w:r>
          </w:p>
        </w:tc>
      </w:tr>
      <w:tr w:rsidR="00042ABB" w14:paraId="6591D314" w14:textId="77777777">
        <w:tc>
          <w:tcPr>
            <w:tcW w:w="2535" w:type="dxa"/>
            <w:tcBorders>
              <w:top w:val="nil"/>
              <w:left w:val="nil"/>
              <w:bottom w:val="nil"/>
              <w:right w:val="nil"/>
            </w:tcBorders>
            <w:shd w:val="clear" w:color="auto" w:fill="E6F2F0"/>
            <w:tcMar>
              <w:top w:w="0" w:type="dxa"/>
              <w:left w:w="108" w:type="dxa"/>
              <w:bottom w:w="0" w:type="dxa"/>
              <w:right w:w="108" w:type="dxa"/>
            </w:tcMar>
            <w:vAlign w:val="center"/>
            <w:hideMark/>
          </w:tcPr>
          <w:p w14:paraId="402553BE" w14:textId="77777777" w:rsidR="00042ABB" w:rsidRDefault="00042ABB">
            <w:pPr>
              <w:spacing w:after="0"/>
              <w:jc w:val="center"/>
            </w:pPr>
            <w:r>
              <w:rPr>
                <w:color w:val="1B4B45"/>
                <w:sz w:val="15"/>
                <w:szCs w:val="15"/>
              </w:rPr>
              <w:lastRenderedPageBreak/>
              <w:t>Affordability implications</w:t>
            </w:r>
          </w:p>
        </w:tc>
        <w:tc>
          <w:tcPr>
            <w:tcW w:w="2535" w:type="dxa"/>
            <w:gridSpan w:val="2"/>
            <w:tcBorders>
              <w:top w:val="nil"/>
              <w:left w:val="nil"/>
              <w:bottom w:val="nil"/>
              <w:right w:val="nil"/>
            </w:tcBorders>
            <w:shd w:val="clear" w:color="auto" w:fill="E6F2F0"/>
            <w:tcMar>
              <w:top w:w="0" w:type="dxa"/>
              <w:left w:w="108" w:type="dxa"/>
              <w:bottom w:w="0" w:type="dxa"/>
              <w:right w:w="108" w:type="dxa"/>
            </w:tcMar>
            <w:hideMark/>
          </w:tcPr>
          <w:p w14:paraId="730A693A" w14:textId="77777777" w:rsidR="00042ABB" w:rsidRDefault="00042ABB">
            <w:pPr>
              <w:spacing w:after="0"/>
            </w:pPr>
            <w:r>
              <w:rPr>
                <w:color w:val="1B4B45"/>
                <w:sz w:val="15"/>
                <w:szCs w:val="15"/>
              </w:rPr>
              <w:t>How does rising household burden change the politics of otherwise necessary investment?</w:t>
            </w:r>
          </w:p>
        </w:tc>
        <w:tc>
          <w:tcPr>
            <w:tcW w:w="2535" w:type="dxa"/>
            <w:gridSpan w:val="2"/>
            <w:tcBorders>
              <w:top w:val="nil"/>
              <w:left w:val="nil"/>
              <w:bottom w:val="nil"/>
              <w:right w:val="nil"/>
            </w:tcBorders>
            <w:shd w:val="clear" w:color="auto" w:fill="E6F2F0"/>
            <w:tcMar>
              <w:top w:w="0" w:type="dxa"/>
              <w:left w:w="108" w:type="dxa"/>
              <w:bottom w:w="0" w:type="dxa"/>
              <w:right w:w="108" w:type="dxa"/>
            </w:tcMar>
            <w:hideMark/>
          </w:tcPr>
          <w:p w14:paraId="7173C1AA" w14:textId="77777777" w:rsidR="00042ABB" w:rsidRDefault="00042ABB">
            <w:pPr>
              <w:spacing w:after="0"/>
            </w:pPr>
            <w:r>
              <w:rPr>
                <w:color w:val="1B4B45"/>
                <w:sz w:val="15"/>
                <w:szCs w:val="15"/>
              </w:rPr>
              <w:t>Build a rate-impact narrative, customer segmentation view, and cost-causation framework for large-load and grid investments</w:t>
            </w:r>
          </w:p>
        </w:tc>
        <w:tc>
          <w:tcPr>
            <w:tcW w:w="2535" w:type="dxa"/>
            <w:gridSpan w:val="2"/>
            <w:tcBorders>
              <w:top w:val="nil"/>
              <w:left w:val="nil"/>
              <w:bottom w:val="nil"/>
              <w:right w:val="nil"/>
            </w:tcBorders>
            <w:shd w:val="clear" w:color="auto" w:fill="E6F2F0"/>
            <w:tcMar>
              <w:top w:w="0" w:type="dxa"/>
              <w:left w:w="108" w:type="dxa"/>
              <w:bottom w:w="0" w:type="dxa"/>
              <w:right w:w="108" w:type="dxa"/>
            </w:tcMar>
            <w:hideMark/>
          </w:tcPr>
          <w:p w14:paraId="00D990AC" w14:textId="77777777" w:rsidR="00042ABB" w:rsidRDefault="00042ABB">
            <w:pPr>
              <w:spacing w:after="0"/>
            </w:pPr>
            <w:r>
              <w:rPr>
                <w:color w:val="1B4B45"/>
                <w:sz w:val="15"/>
                <w:szCs w:val="15"/>
              </w:rPr>
              <w:t>Public bill shock, affordability campaign, data-center cost shift claim, or proposed rate freeze/cap</w:t>
            </w:r>
          </w:p>
        </w:tc>
        <w:tc>
          <w:tcPr>
            <w:tcW w:w="30" w:type="dxa"/>
            <w:tcBorders>
              <w:top w:val="nil"/>
              <w:left w:val="nil"/>
              <w:bottom w:val="nil"/>
              <w:right w:val="nil"/>
            </w:tcBorders>
            <w:vAlign w:val="center"/>
            <w:hideMark/>
          </w:tcPr>
          <w:p w14:paraId="358FB7FA" w14:textId="77777777" w:rsidR="00042ABB" w:rsidRDefault="00042ABB">
            <w:r>
              <w:t> </w:t>
            </w:r>
          </w:p>
        </w:tc>
      </w:tr>
      <w:tr w:rsidR="00042ABB" w14:paraId="427033A8" w14:textId="77777777">
        <w:tc>
          <w:tcPr>
            <w:tcW w:w="2541" w:type="dxa"/>
            <w:gridSpan w:val="2"/>
            <w:tcBorders>
              <w:top w:val="nil"/>
              <w:left w:val="nil"/>
              <w:bottom w:val="nil"/>
              <w:right w:val="nil"/>
            </w:tcBorders>
            <w:tcMar>
              <w:top w:w="0" w:type="dxa"/>
              <w:left w:w="108" w:type="dxa"/>
              <w:bottom w:w="0" w:type="dxa"/>
              <w:right w:w="108" w:type="dxa"/>
            </w:tcMar>
            <w:vAlign w:val="center"/>
            <w:hideMark/>
          </w:tcPr>
          <w:p w14:paraId="265B82BB" w14:textId="77777777" w:rsidR="00042ABB" w:rsidRDefault="00042ABB">
            <w:pPr>
              <w:spacing w:after="0"/>
              <w:jc w:val="center"/>
            </w:pPr>
            <w:r>
              <w:rPr>
                <w:color w:val="1B4B45"/>
                <w:sz w:val="15"/>
                <w:szCs w:val="15"/>
              </w:rPr>
              <w:t>3. Transmission governance</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1FB2F8F5" w14:textId="77777777" w:rsidR="00042ABB" w:rsidRDefault="00042ABB">
            <w:pPr>
              <w:spacing w:after="0"/>
            </w:pPr>
            <w:r>
              <w:rPr>
                <w:color w:val="1B4B45"/>
                <w:sz w:val="15"/>
                <w:szCs w:val="15"/>
              </w:rPr>
              <w:t>Who should build, own, site and pay for expansion?</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30058B3F" w14:textId="77777777" w:rsidR="00042ABB" w:rsidRDefault="00042ABB">
            <w:pPr>
              <w:spacing w:after="0"/>
            </w:pPr>
            <w:r>
              <w:rPr>
                <w:color w:val="1B4B45"/>
                <w:sz w:val="15"/>
                <w:szCs w:val="15"/>
              </w:rPr>
              <w:t>Ownership and siting map; RTO and state authority scenarios; stakeholder matrix</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5FBBCB39" w14:textId="77777777" w:rsidR="00042ABB" w:rsidRDefault="00042ABB">
            <w:pPr>
              <w:spacing w:after="0"/>
            </w:pPr>
            <w:r>
              <w:rPr>
                <w:color w:val="1B4B45"/>
                <w:sz w:val="15"/>
                <w:szCs w:val="15"/>
              </w:rPr>
              <w:t>Reliability event, regional plan, or eminent-domain controversy</w:t>
            </w:r>
          </w:p>
        </w:tc>
      </w:tr>
      <w:tr w:rsidR="00042ABB" w14:paraId="3C51DE80" w14:textId="77777777">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657A87B9" w14:textId="77777777" w:rsidR="00042ABB" w:rsidRDefault="00042ABB">
            <w:pPr>
              <w:spacing w:after="0"/>
              <w:jc w:val="center"/>
            </w:pPr>
            <w:r>
              <w:rPr>
                <w:color w:val="1B4B45"/>
                <w:sz w:val="15"/>
                <w:szCs w:val="15"/>
              </w:rPr>
              <w:t>4. Storage deployment</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28B5C04A" w14:textId="77777777" w:rsidR="00042ABB" w:rsidRDefault="00042ABB">
            <w:pPr>
              <w:spacing w:after="0"/>
            </w:pPr>
            <w:r>
              <w:rPr>
                <w:color w:val="1B4B45"/>
                <w:sz w:val="15"/>
                <w:szCs w:val="15"/>
              </w:rPr>
              <w:t>What state/local framework accelerates safe, financeable storage?</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5F9EA8ED" w14:textId="77777777" w:rsidR="00042ABB" w:rsidRDefault="00042ABB">
            <w:pPr>
              <w:spacing w:after="0"/>
            </w:pPr>
            <w:r>
              <w:rPr>
                <w:color w:val="1B4B45"/>
                <w:sz w:val="15"/>
                <w:szCs w:val="15"/>
              </w:rPr>
              <w:t>Model siting code; safety standards; ownership and revenue-bond options</w:t>
            </w:r>
          </w:p>
        </w:tc>
        <w:tc>
          <w:tcPr>
            <w:tcW w:w="2541" w:type="dxa"/>
            <w:gridSpan w:val="2"/>
            <w:tcBorders>
              <w:top w:val="nil"/>
              <w:left w:val="nil"/>
              <w:bottom w:val="nil"/>
              <w:right w:val="nil"/>
            </w:tcBorders>
            <w:shd w:val="clear" w:color="auto" w:fill="E6F2F0"/>
            <w:tcMar>
              <w:top w:w="0" w:type="dxa"/>
              <w:left w:w="108" w:type="dxa"/>
              <w:bottom w:w="0" w:type="dxa"/>
              <w:right w:w="108" w:type="dxa"/>
            </w:tcMar>
            <w:vAlign w:val="center"/>
            <w:hideMark/>
          </w:tcPr>
          <w:p w14:paraId="64C38854" w14:textId="77777777" w:rsidR="00042ABB" w:rsidRDefault="00042ABB">
            <w:pPr>
              <w:spacing w:after="0"/>
            </w:pPr>
            <w:r>
              <w:rPr>
                <w:color w:val="1B4B45"/>
                <w:sz w:val="15"/>
                <w:szCs w:val="15"/>
              </w:rPr>
              <w:t>Local moratorium, incident, or large procurement proposal</w:t>
            </w:r>
          </w:p>
        </w:tc>
      </w:tr>
      <w:tr w:rsidR="00042ABB" w14:paraId="299F8395" w14:textId="77777777">
        <w:tc>
          <w:tcPr>
            <w:tcW w:w="2541" w:type="dxa"/>
            <w:gridSpan w:val="2"/>
            <w:tcBorders>
              <w:top w:val="nil"/>
              <w:left w:val="nil"/>
              <w:bottom w:val="nil"/>
              <w:right w:val="nil"/>
            </w:tcBorders>
            <w:tcMar>
              <w:top w:w="0" w:type="dxa"/>
              <w:left w:w="108" w:type="dxa"/>
              <w:bottom w:w="0" w:type="dxa"/>
              <w:right w:w="108" w:type="dxa"/>
            </w:tcMar>
            <w:vAlign w:val="center"/>
            <w:hideMark/>
          </w:tcPr>
          <w:p w14:paraId="2BD1A221" w14:textId="77777777" w:rsidR="00042ABB" w:rsidRDefault="00042ABB">
            <w:pPr>
              <w:spacing w:after="0"/>
              <w:jc w:val="center"/>
            </w:pPr>
            <w:r>
              <w:rPr>
                <w:color w:val="1B4B45"/>
                <w:sz w:val="15"/>
                <w:szCs w:val="15"/>
              </w:rPr>
              <w:t>5. Climate and gas transition</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2445865C" w14:textId="77777777" w:rsidR="00042ABB" w:rsidRDefault="00042ABB">
            <w:pPr>
              <w:spacing w:after="0"/>
            </w:pPr>
            <w:r>
              <w:rPr>
                <w:color w:val="1B4B45"/>
                <w:sz w:val="15"/>
                <w:szCs w:val="15"/>
              </w:rPr>
              <w:t>How do emissions rules, gas authority and reliability backstops interact?</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1A403E02" w14:textId="77777777" w:rsidR="00042ABB" w:rsidRDefault="00042ABB">
            <w:pPr>
              <w:spacing w:after="0"/>
            </w:pPr>
            <w:r>
              <w:rPr>
                <w:color w:val="1B4B45"/>
                <w:sz w:val="15"/>
                <w:szCs w:val="15"/>
              </w:rPr>
              <w:t>Scenario map for peakers, appliance rules, GHG limits, extensions and municipal authority</w:t>
            </w:r>
          </w:p>
        </w:tc>
        <w:tc>
          <w:tcPr>
            <w:tcW w:w="2541" w:type="dxa"/>
            <w:gridSpan w:val="2"/>
            <w:tcBorders>
              <w:top w:val="nil"/>
              <w:left w:val="nil"/>
              <w:bottom w:val="nil"/>
              <w:right w:val="nil"/>
            </w:tcBorders>
            <w:tcMar>
              <w:top w:w="0" w:type="dxa"/>
              <w:left w:w="108" w:type="dxa"/>
              <w:bottom w:w="0" w:type="dxa"/>
              <w:right w:w="108" w:type="dxa"/>
            </w:tcMar>
            <w:vAlign w:val="center"/>
            <w:hideMark/>
          </w:tcPr>
          <w:p w14:paraId="2D978A40" w14:textId="77777777" w:rsidR="00042ABB" w:rsidRDefault="00042ABB">
            <w:pPr>
              <w:spacing w:after="0"/>
            </w:pPr>
            <w:r>
              <w:rPr>
                <w:color w:val="1B4B45"/>
                <w:sz w:val="15"/>
                <w:szCs w:val="15"/>
              </w:rPr>
              <w:t>Federal rule change, winter reliability event, or local gas restriction</w:t>
            </w:r>
          </w:p>
        </w:tc>
      </w:tr>
      <w:tr w:rsidR="00042ABB" w14:paraId="5C0DEBAA" w14:textId="77777777">
        <w:tc>
          <w:tcPr>
            <w:tcW w:w="2541" w:type="dxa"/>
            <w:gridSpan w:val="2"/>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6787A5CC" w14:textId="77777777" w:rsidR="00042ABB" w:rsidRDefault="00042ABB">
            <w:pPr>
              <w:spacing w:after="0"/>
              <w:jc w:val="center"/>
            </w:pPr>
            <w:r>
              <w:rPr>
                <w:color w:val="1B4B45"/>
                <w:sz w:val="15"/>
                <w:szCs w:val="15"/>
              </w:rPr>
              <w:t>6. Cyber/AI governance</w:t>
            </w:r>
          </w:p>
        </w:tc>
        <w:tc>
          <w:tcPr>
            <w:tcW w:w="2541" w:type="dxa"/>
            <w:gridSpan w:val="2"/>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59F06590" w14:textId="77777777" w:rsidR="00042ABB" w:rsidRDefault="00042ABB">
            <w:pPr>
              <w:spacing w:after="0"/>
            </w:pPr>
            <w:r>
              <w:rPr>
                <w:color w:val="1B4B45"/>
                <w:sz w:val="15"/>
                <w:szCs w:val="15"/>
              </w:rPr>
              <w:t>Which customer-data and OT standards are likely to converge?</w:t>
            </w:r>
          </w:p>
        </w:tc>
        <w:tc>
          <w:tcPr>
            <w:tcW w:w="2541" w:type="dxa"/>
            <w:gridSpan w:val="2"/>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76753913" w14:textId="77777777" w:rsidR="00042ABB" w:rsidRDefault="00042ABB">
            <w:pPr>
              <w:spacing w:after="0"/>
            </w:pPr>
            <w:r>
              <w:rPr>
                <w:color w:val="1B4B45"/>
                <w:sz w:val="15"/>
                <w:szCs w:val="15"/>
              </w:rPr>
              <w:t>Crosswalk privacy, AI, biometric, drone and critical-infrastructure proposals</w:t>
            </w:r>
          </w:p>
        </w:tc>
        <w:tc>
          <w:tcPr>
            <w:tcW w:w="2541" w:type="dxa"/>
            <w:gridSpan w:val="2"/>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0A1B8019" w14:textId="77777777" w:rsidR="00042ABB" w:rsidRDefault="00042ABB">
            <w:pPr>
              <w:spacing w:after="0"/>
            </w:pPr>
            <w:r>
              <w:rPr>
                <w:color w:val="1B4B45"/>
                <w:sz w:val="15"/>
                <w:szCs w:val="15"/>
              </w:rPr>
              <w:t>Cyber incident, AI workforce controversy, or federal preemption move</w:t>
            </w:r>
          </w:p>
        </w:tc>
      </w:tr>
      <w:tr w:rsidR="00042ABB" w14:paraId="1787DBEA" w14:textId="77777777">
        <w:tc>
          <w:tcPr>
            <w:tcW w:w="2535" w:type="dxa"/>
            <w:tcBorders>
              <w:top w:val="nil"/>
              <w:left w:val="nil"/>
              <w:bottom w:val="nil"/>
              <w:right w:val="nil"/>
            </w:tcBorders>
            <w:vAlign w:val="center"/>
            <w:hideMark/>
          </w:tcPr>
          <w:p w14:paraId="1D16B586" w14:textId="77777777" w:rsidR="00042ABB" w:rsidRDefault="00042ABB"/>
        </w:tc>
        <w:tc>
          <w:tcPr>
            <w:tcW w:w="6" w:type="dxa"/>
            <w:tcBorders>
              <w:top w:val="nil"/>
              <w:left w:val="nil"/>
              <w:bottom w:val="nil"/>
              <w:right w:val="nil"/>
            </w:tcBorders>
            <w:vAlign w:val="center"/>
            <w:hideMark/>
          </w:tcPr>
          <w:p w14:paraId="0B3E8437" w14:textId="77777777" w:rsidR="00042ABB" w:rsidRDefault="00042ABB"/>
        </w:tc>
        <w:tc>
          <w:tcPr>
            <w:tcW w:w="2535" w:type="dxa"/>
            <w:tcBorders>
              <w:top w:val="nil"/>
              <w:left w:val="nil"/>
              <w:bottom w:val="nil"/>
              <w:right w:val="nil"/>
            </w:tcBorders>
            <w:vAlign w:val="center"/>
            <w:hideMark/>
          </w:tcPr>
          <w:p w14:paraId="7862DDBC" w14:textId="77777777" w:rsidR="00042ABB" w:rsidRDefault="00042ABB"/>
        </w:tc>
        <w:tc>
          <w:tcPr>
            <w:tcW w:w="15" w:type="dxa"/>
            <w:tcBorders>
              <w:top w:val="nil"/>
              <w:left w:val="nil"/>
              <w:bottom w:val="nil"/>
              <w:right w:val="nil"/>
            </w:tcBorders>
            <w:vAlign w:val="center"/>
            <w:hideMark/>
          </w:tcPr>
          <w:p w14:paraId="03E17880" w14:textId="77777777" w:rsidR="00042ABB" w:rsidRDefault="00042ABB"/>
        </w:tc>
        <w:tc>
          <w:tcPr>
            <w:tcW w:w="2520" w:type="dxa"/>
            <w:tcBorders>
              <w:top w:val="nil"/>
              <w:left w:val="nil"/>
              <w:bottom w:val="nil"/>
              <w:right w:val="nil"/>
            </w:tcBorders>
            <w:vAlign w:val="center"/>
            <w:hideMark/>
          </w:tcPr>
          <w:p w14:paraId="7BD87C12" w14:textId="77777777" w:rsidR="00042ABB" w:rsidRDefault="00042ABB"/>
        </w:tc>
        <w:tc>
          <w:tcPr>
            <w:tcW w:w="15" w:type="dxa"/>
            <w:tcBorders>
              <w:top w:val="nil"/>
              <w:left w:val="nil"/>
              <w:bottom w:val="nil"/>
              <w:right w:val="nil"/>
            </w:tcBorders>
            <w:vAlign w:val="center"/>
            <w:hideMark/>
          </w:tcPr>
          <w:p w14:paraId="3B1CB9DF" w14:textId="77777777" w:rsidR="00042ABB" w:rsidRDefault="00042ABB"/>
        </w:tc>
        <w:tc>
          <w:tcPr>
            <w:tcW w:w="2520" w:type="dxa"/>
            <w:tcBorders>
              <w:top w:val="nil"/>
              <w:left w:val="nil"/>
              <w:bottom w:val="nil"/>
              <w:right w:val="nil"/>
            </w:tcBorders>
            <w:vAlign w:val="center"/>
            <w:hideMark/>
          </w:tcPr>
          <w:p w14:paraId="58137940" w14:textId="77777777" w:rsidR="00042ABB" w:rsidRDefault="00042ABB"/>
        </w:tc>
        <w:tc>
          <w:tcPr>
            <w:tcW w:w="30" w:type="dxa"/>
            <w:tcBorders>
              <w:top w:val="nil"/>
              <w:left w:val="nil"/>
              <w:bottom w:val="nil"/>
              <w:right w:val="nil"/>
            </w:tcBorders>
            <w:vAlign w:val="center"/>
            <w:hideMark/>
          </w:tcPr>
          <w:p w14:paraId="7E1F72E6" w14:textId="77777777" w:rsidR="00042ABB" w:rsidRDefault="00042ABB"/>
        </w:tc>
      </w:tr>
    </w:tbl>
    <w:p w14:paraId="5700F083" w14:textId="77777777" w:rsidR="00E23FC0" w:rsidRDefault="00E23FC0" w:rsidP="00E23FC0">
      <w:pPr>
        <w:pStyle w:val="Heading2"/>
        <w:rPr>
          <w:color w:val="2F8577"/>
          <w:kern w:val="2"/>
          <w:szCs w:val="25"/>
          <w14:ligatures w14:val="standardContextual"/>
        </w:rPr>
      </w:pPr>
      <w:r>
        <w:rPr>
          <w:color w:val="2F8577"/>
        </w:rPr>
        <w:t>Recommended operating model</w:t>
      </w:r>
    </w:p>
    <w:p w14:paraId="6641611E" w14:textId="77777777" w:rsidR="003C0548" w:rsidRDefault="006F72DF">
      <w:pPr>
        <w:pStyle w:val="ListBullet"/>
      </w:pPr>
      <w:r>
        <w:t>Maintain a monthly signal dashboard that combines bill volume, persistence, sponsor/committee strength, stakeholder mobilization, external events, and business exposure.</w:t>
      </w:r>
    </w:p>
    <w:p w14:paraId="34767355" w14:textId="77777777" w:rsidR="003C0548" w:rsidRDefault="006F72DF">
      <w:pPr>
        <w:pStyle w:val="ListBullet"/>
      </w:pPr>
      <w:r>
        <w:t>Create model legislative language and red-line positions before a proposal becomes a leadership issue.</w:t>
      </w:r>
    </w:p>
    <w:p w14:paraId="4EA742FF" w14:textId="77777777" w:rsidR="003C0548" w:rsidRDefault="006F72DF">
      <w:pPr>
        <w:pStyle w:val="ListBullet"/>
      </w:pPr>
      <w:r>
        <w:lastRenderedPageBreak/>
        <w:t>Use cross-state analogs as real-world experiments: identify what passed, what failed, how costs were allocated, and which coalitions formed.</w:t>
      </w:r>
    </w:p>
    <w:p w14:paraId="212B33F2" w14:textId="77777777" w:rsidR="003C0548" w:rsidRDefault="006F72DF">
      <w:pPr>
        <w:pStyle w:val="ListBullet"/>
      </w:pPr>
      <w:r>
        <w:t>Separate monitoring from foresight. Monitoring asks what is moving; Political R&amp;D asks what is likely to emerge next and what position creates optionality.</w:t>
      </w:r>
    </w:p>
    <w:p w14:paraId="71AC9D4F" w14:textId="77777777" w:rsidR="00E23FC0" w:rsidRDefault="00E23FC0" w:rsidP="00E23FC0">
      <w:pPr>
        <w:pStyle w:val="Heading1"/>
        <w:rPr>
          <w:color w:val="1B4B45"/>
          <w:kern w:val="36"/>
          <w:szCs w:val="34"/>
          <w14:ligatures w14:val="standardContextual"/>
        </w:rPr>
      </w:pPr>
      <w:r>
        <w:rPr>
          <w:color w:val="1B4B45"/>
        </w:rPr>
        <w:t>8. Leadership Decisions and Watchlist</w:t>
      </w:r>
    </w:p>
    <w:tbl>
      <w:tblPr>
        <w:tblW w:w="0" w:type="auto"/>
        <w:tblCellMar>
          <w:left w:w="0" w:type="dxa"/>
          <w:right w:w="0" w:type="dxa"/>
        </w:tblCellMar>
        <w:tblLook w:val="04A0" w:firstRow="1" w:lastRow="0" w:firstColumn="1" w:lastColumn="0" w:noHBand="0" w:noVBand="1"/>
      </w:tblPr>
      <w:tblGrid>
        <w:gridCol w:w="10166"/>
      </w:tblGrid>
      <w:tr w:rsidR="00DC6AC7" w14:paraId="161EB169" w14:textId="77777777">
        <w:tc>
          <w:tcPr>
            <w:tcW w:w="10166" w:type="dxa"/>
            <w:shd w:val="clear" w:color="auto" w:fill="1B4B45"/>
            <w:tcMar>
              <w:top w:w="0" w:type="dxa"/>
              <w:left w:w="160" w:type="dxa"/>
              <w:bottom w:w="0" w:type="dxa"/>
              <w:right w:w="108" w:type="dxa"/>
            </w:tcMar>
            <w:hideMark/>
          </w:tcPr>
          <w:p w14:paraId="5856D463" w14:textId="77777777" w:rsidR="00DC6AC7" w:rsidRDefault="00DC6AC7">
            <w:pPr>
              <w:rPr>
                <w:kern w:val="2"/>
                <w:szCs w:val="19"/>
                <w14:ligatures w14:val="standardContextual"/>
              </w:rPr>
            </w:pPr>
            <w:r>
              <w:rPr>
                <w:b/>
                <w:bCs/>
                <w:color w:val="FFFFFF"/>
                <w:sz w:val="22"/>
              </w:rPr>
              <w:t>One-sentence executive takeaway</w:t>
            </w:r>
            <w:r>
              <w:rPr>
                <w:b/>
                <w:bCs/>
                <w:color w:val="FFFFFF"/>
                <w:sz w:val="22"/>
              </w:rPr>
              <w:br/>
            </w:r>
            <w:r>
              <w:rPr>
                <w:color w:val="E6F2F0"/>
              </w:rPr>
              <w:t>Illinois legislative activity is signaling a move from clean-energy policy creation to contested governance of load growth, infrastructure, affordability, and risk - making proactive model development more valuable than reactive bill-by-bill engagement.</w:t>
            </w:r>
          </w:p>
        </w:tc>
      </w:tr>
    </w:tbl>
    <w:p w14:paraId="0E27B00A" w14:textId="77777777" w:rsidR="003C0548" w:rsidRDefault="003C0548">
      <w:pPr>
        <w:spacing w:after="0"/>
      </w:pPr>
    </w:p>
    <w:p w14:paraId="60061E4C" w14:textId="77777777" w:rsidR="003C0548" w:rsidRDefault="006F72DF">
      <w:r>
        <w:br w:type="page"/>
      </w:r>
    </w:p>
    <w:p w14:paraId="7FAEFD20" w14:textId="77777777" w:rsidR="00E23FC0" w:rsidRDefault="00E23FC0" w:rsidP="00E23FC0">
      <w:pPr>
        <w:pStyle w:val="Heading1"/>
        <w:rPr>
          <w:color w:val="1B4B45"/>
          <w:kern w:val="36"/>
          <w:szCs w:val="34"/>
          <w14:ligatures w14:val="standardContextual"/>
        </w:rPr>
      </w:pPr>
      <w:r>
        <w:rPr>
          <w:color w:val="1B4B45"/>
        </w:rPr>
        <w:lastRenderedPageBreak/>
        <w:t>Appendix A. Methodology and Limitations</w:t>
      </w:r>
    </w:p>
    <w:p w14:paraId="13BC2B83" w14:textId="77777777" w:rsidR="003C0548" w:rsidRDefault="006F72DF">
      <w:pPr>
        <w:pStyle w:val="ListBullet"/>
      </w:pPr>
      <w:r>
        <w:t>The internal dataset contains 792 unique year-plus-bill-number records for 2020-2026. Counts are directional and represent the tracked portfolio, not the universe of all legislation introduced in Illinois.</w:t>
      </w:r>
    </w:p>
    <w:p w14:paraId="27A6F5B3" w14:textId="77777777" w:rsidR="003C0548" w:rsidRDefault="006F72DF">
      <w:pPr>
        <w:pStyle w:val="ListBullet"/>
      </w:pPr>
      <w:r>
        <w:t xml:space="preserve">Each record is assigned one primary refined strategic issue to prevent double counting. The original broad Government Administration, Legal Affairs &amp; </w:t>
      </w:r>
      <w:proofErr w:type="gramStart"/>
      <w:r>
        <w:t>Cross-Cutting</w:t>
      </w:r>
      <w:proofErr w:type="gramEnd"/>
      <w:r>
        <w:t xml:space="preserve"> Policy category is not used as a substantive trend because it combined unrelated domains.</w:t>
      </w:r>
    </w:p>
    <w:p w14:paraId="76D33F30" w14:textId="77777777" w:rsidR="003C0548" w:rsidRDefault="006F72DF">
      <w:pPr>
        <w:pStyle w:val="ListBullet"/>
      </w:pPr>
      <w:r>
        <w:t>Subject persistence is based on normalized subject labels. Companion measures, reintroductions, omnibus vehicles and materially similar concepts with different titles may cause persistence to be understated or overstated.</w:t>
      </w:r>
    </w:p>
    <w:p w14:paraId="7B5A1397" w14:textId="77777777" w:rsidR="003C0548" w:rsidRDefault="006F72DF">
      <w:pPr>
        <w:pStyle w:val="ListBullet"/>
      </w:pPr>
      <w:r>
        <w:t>Bill subject titles are not substitutes for legal review of bill text, amendments, fiscal notes, sponsor intent, committee posture, or enactment status. Before using this report for formal advocacy, validate priority measures against official legislative records.</w:t>
      </w:r>
    </w:p>
    <w:p w14:paraId="1E5E8256" w14:textId="77777777" w:rsidR="003C0548" w:rsidRDefault="006F72DF">
      <w:pPr>
        <w:pStyle w:val="ListBullet"/>
      </w:pPr>
      <w:r>
        <w:t>Cross-state examples are illustrative, not a complete 50-state legal survey. External sources were selected to establish directional comparability and should be refreshed as sessions and litigation evolve.</w:t>
      </w:r>
    </w:p>
    <w:p w14:paraId="33CC081D" w14:textId="77777777" w:rsidR="00E23FC0" w:rsidRDefault="00E23FC0" w:rsidP="00E23FC0">
      <w:pPr>
        <w:pStyle w:val="Heading1"/>
        <w:rPr>
          <w:color w:val="1B4B45"/>
          <w:kern w:val="36"/>
          <w:szCs w:val="34"/>
          <w14:ligatures w14:val="standardContextual"/>
        </w:rPr>
      </w:pPr>
      <w:r>
        <w:rPr>
          <w:color w:val="1B4B45"/>
        </w:rPr>
        <w:t>Appendix B. Selected Source List</w:t>
      </w:r>
    </w:p>
    <w:tbl>
      <w:tblPr>
        <w:tblW w:w="0" w:type="auto"/>
        <w:tblCellMar>
          <w:left w:w="0" w:type="dxa"/>
          <w:right w:w="0" w:type="dxa"/>
        </w:tblCellMar>
        <w:tblLook w:val="04A0" w:firstRow="1" w:lastRow="0" w:firstColumn="1" w:lastColumn="0" w:noHBand="0" w:noVBand="1"/>
      </w:tblPr>
      <w:tblGrid>
        <w:gridCol w:w="1902"/>
        <w:gridCol w:w="8264"/>
      </w:tblGrid>
      <w:tr w:rsidR="002932F8" w14:paraId="2FCB5E67" w14:textId="77777777">
        <w:tc>
          <w:tcPr>
            <w:tcW w:w="2016"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016C3089" w14:textId="77777777" w:rsidR="002932F8" w:rsidRDefault="002932F8">
            <w:pPr>
              <w:spacing w:after="0"/>
              <w:jc w:val="center"/>
              <w:rPr>
                <w:kern w:val="2"/>
                <w:szCs w:val="19"/>
                <w14:ligatures w14:val="standardContextual"/>
              </w:rPr>
            </w:pPr>
            <w:r>
              <w:rPr>
                <w:b/>
                <w:bCs/>
                <w:color w:val="FFFFFF"/>
                <w:sz w:val="15"/>
                <w:szCs w:val="15"/>
              </w:rPr>
              <w:t>Source area</w:t>
            </w:r>
          </w:p>
        </w:tc>
        <w:tc>
          <w:tcPr>
            <w:tcW w:w="8640" w:type="dxa"/>
            <w:tcBorders>
              <w:top w:val="single" w:sz="8" w:space="0" w:color="2F8577"/>
              <w:left w:val="nil"/>
              <w:bottom w:val="single" w:sz="8" w:space="0" w:color="2F8577"/>
              <w:right w:val="nil"/>
            </w:tcBorders>
            <w:shd w:val="clear" w:color="auto" w:fill="1B4B45"/>
            <w:tcMar>
              <w:top w:w="0" w:type="dxa"/>
              <w:left w:w="108" w:type="dxa"/>
              <w:bottom w:w="0" w:type="dxa"/>
              <w:right w:w="108" w:type="dxa"/>
            </w:tcMar>
            <w:vAlign w:val="center"/>
            <w:hideMark/>
          </w:tcPr>
          <w:p w14:paraId="2E8E9A8A" w14:textId="77777777" w:rsidR="002932F8" w:rsidRDefault="002932F8">
            <w:pPr>
              <w:spacing w:after="0"/>
              <w:jc w:val="center"/>
            </w:pPr>
            <w:r>
              <w:rPr>
                <w:b/>
                <w:bCs/>
                <w:color w:val="FFFFFF"/>
                <w:sz w:val="15"/>
                <w:szCs w:val="15"/>
              </w:rPr>
              <w:t>Reference</w:t>
            </w:r>
          </w:p>
        </w:tc>
      </w:tr>
      <w:tr w:rsidR="002932F8" w14:paraId="52315910" w14:textId="77777777">
        <w:tc>
          <w:tcPr>
            <w:tcW w:w="2016" w:type="dxa"/>
            <w:tcBorders>
              <w:top w:val="nil"/>
              <w:left w:val="nil"/>
              <w:bottom w:val="nil"/>
              <w:right w:val="nil"/>
            </w:tcBorders>
            <w:shd w:val="clear" w:color="auto" w:fill="E6F2F0"/>
            <w:tcMar>
              <w:top w:w="0" w:type="dxa"/>
              <w:left w:w="108" w:type="dxa"/>
              <w:bottom w:w="0" w:type="dxa"/>
              <w:right w:w="108" w:type="dxa"/>
            </w:tcMar>
            <w:vAlign w:val="center"/>
            <w:hideMark/>
          </w:tcPr>
          <w:p w14:paraId="27F15239" w14:textId="77777777" w:rsidR="002932F8" w:rsidRDefault="002932F8">
            <w:pPr>
              <w:spacing w:after="0"/>
              <w:jc w:val="center"/>
            </w:pPr>
            <w:r>
              <w:rPr>
                <w:color w:val="1B4B45"/>
                <w:sz w:val="15"/>
                <w:szCs w:val="15"/>
              </w:rPr>
              <w:t>Internal workbook</w:t>
            </w:r>
          </w:p>
        </w:tc>
        <w:tc>
          <w:tcPr>
            <w:tcW w:w="8640" w:type="dxa"/>
            <w:tcBorders>
              <w:top w:val="nil"/>
              <w:left w:val="nil"/>
              <w:bottom w:val="nil"/>
              <w:right w:val="nil"/>
            </w:tcBorders>
            <w:shd w:val="clear" w:color="auto" w:fill="E6F2F0"/>
            <w:tcMar>
              <w:top w:w="0" w:type="dxa"/>
              <w:left w:w="108" w:type="dxa"/>
              <w:bottom w:w="0" w:type="dxa"/>
              <w:right w:w="108" w:type="dxa"/>
            </w:tcMar>
            <w:vAlign w:val="center"/>
            <w:hideMark/>
          </w:tcPr>
          <w:p w14:paraId="6FEC2AC2" w14:textId="77777777" w:rsidR="002932F8" w:rsidRDefault="002932F8">
            <w:pPr>
              <w:spacing w:after="0"/>
            </w:pPr>
            <w:r>
              <w:rPr>
                <w:color w:val="1B4B45"/>
                <w:sz w:val="15"/>
                <w:szCs w:val="15"/>
              </w:rPr>
              <w:t xml:space="preserve">2026 Bill Trends Report 2.xlsx - Executive Brief, Issue Transitions, 2026 Focus, Bill Dataset, </w:t>
            </w:r>
            <w:proofErr w:type="spellStart"/>
            <w:r>
              <w:rPr>
                <w:color w:val="1B4B45"/>
                <w:sz w:val="15"/>
                <w:szCs w:val="15"/>
              </w:rPr>
              <w:t>TrendDefBilYear</w:t>
            </w:r>
            <w:proofErr w:type="spellEnd"/>
            <w:r>
              <w:rPr>
                <w:color w:val="1B4B45"/>
                <w:sz w:val="15"/>
                <w:szCs w:val="15"/>
              </w:rPr>
              <w:t xml:space="preserve"> and Brief Data.</w:t>
            </w:r>
          </w:p>
        </w:tc>
      </w:tr>
      <w:tr w:rsidR="002932F8" w14:paraId="26C95BCF" w14:textId="77777777">
        <w:tc>
          <w:tcPr>
            <w:tcW w:w="2016" w:type="dxa"/>
            <w:tcBorders>
              <w:top w:val="nil"/>
              <w:left w:val="nil"/>
              <w:bottom w:val="nil"/>
              <w:right w:val="nil"/>
            </w:tcBorders>
            <w:tcMar>
              <w:top w:w="0" w:type="dxa"/>
              <w:left w:w="108" w:type="dxa"/>
              <w:bottom w:w="0" w:type="dxa"/>
              <w:right w:w="108" w:type="dxa"/>
            </w:tcMar>
            <w:vAlign w:val="center"/>
            <w:hideMark/>
          </w:tcPr>
          <w:p w14:paraId="4A32915B" w14:textId="77777777" w:rsidR="002932F8" w:rsidRDefault="002932F8">
            <w:pPr>
              <w:spacing w:after="0"/>
              <w:jc w:val="center"/>
            </w:pPr>
            <w:r>
              <w:rPr>
                <w:color w:val="1B4B45"/>
                <w:sz w:val="15"/>
                <w:szCs w:val="15"/>
              </w:rPr>
              <w:t>National energy legislation</w:t>
            </w:r>
          </w:p>
        </w:tc>
        <w:tc>
          <w:tcPr>
            <w:tcW w:w="8640" w:type="dxa"/>
            <w:tcBorders>
              <w:top w:val="nil"/>
              <w:left w:val="nil"/>
              <w:bottom w:val="nil"/>
              <w:right w:val="nil"/>
            </w:tcBorders>
            <w:tcMar>
              <w:top w:w="0" w:type="dxa"/>
              <w:left w:w="108" w:type="dxa"/>
              <w:bottom w:w="0" w:type="dxa"/>
              <w:right w:w="108" w:type="dxa"/>
            </w:tcMar>
            <w:vAlign w:val="center"/>
            <w:hideMark/>
          </w:tcPr>
          <w:p w14:paraId="10FF2209" w14:textId="77777777" w:rsidR="002932F8" w:rsidRDefault="002932F8">
            <w:pPr>
              <w:spacing w:after="0"/>
            </w:pPr>
            <w:r>
              <w:rPr>
                <w:color w:val="1B4B45"/>
                <w:sz w:val="15"/>
                <w:szCs w:val="15"/>
              </w:rPr>
              <w:t>National Conference of State Legislatures, State Energy Legislation Database, updated February 10, 2026: https://www.ncsl.org/energy/state-energy-legislation-database</w:t>
            </w:r>
          </w:p>
        </w:tc>
      </w:tr>
      <w:tr w:rsidR="002932F8" w14:paraId="3248B7BA" w14:textId="77777777">
        <w:tc>
          <w:tcPr>
            <w:tcW w:w="2016" w:type="dxa"/>
            <w:tcBorders>
              <w:top w:val="nil"/>
              <w:left w:val="nil"/>
              <w:bottom w:val="nil"/>
              <w:right w:val="nil"/>
            </w:tcBorders>
            <w:shd w:val="clear" w:color="auto" w:fill="E6F2F0"/>
            <w:tcMar>
              <w:top w:w="0" w:type="dxa"/>
              <w:left w:w="108" w:type="dxa"/>
              <w:bottom w:w="0" w:type="dxa"/>
              <w:right w:w="108" w:type="dxa"/>
            </w:tcMar>
            <w:vAlign w:val="center"/>
            <w:hideMark/>
          </w:tcPr>
          <w:p w14:paraId="15D3D1F1" w14:textId="77777777" w:rsidR="002932F8" w:rsidRDefault="002932F8">
            <w:pPr>
              <w:spacing w:after="0"/>
              <w:jc w:val="center"/>
            </w:pPr>
            <w:r>
              <w:rPr>
                <w:color w:val="1B4B45"/>
                <w:sz w:val="15"/>
                <w:szCs w:val="15"/>
              </w:rPr>
              <w:t>Data-center legislation</w:t>
            </w:r>
          </w:p>
        </w:tc>
        <w:tc>
          <w:tcPr>
            <w:tcW w:w="8640" w:type="dxa"/>
            <w:tcBorders>
              <w:top w:val="nil"/>
              <w:left w:val="nil"/>
              <w:bottom w:val="nil"/>
              <w:right w:val="nil"/>
            </w:tcBorders>
            <w:shd w:val="clear" w:color="auto" w:fill="E6F2F0"/>
            <w:tcMar>
              <w:top w:w="0" w:type="dxa"/>
              <w:left w:w="108" w:type="dxa"/>
              <w:bottom w:w="0" w:type="dxa"/>
              <w:right w:w="108" w:type="dxa"/>
            </w:tcMar>
            <w:vAlign w:val="center"/>
            <w:hideMark/>
          </w:tcPr>
          <w:p w14:paraId="7A29D7CC" w14:textId="77777777" w:rsidR="002932F8" w:rsidRDefault="002932F8">
            <w:pPr>
              <w:spacing w:after="0"/>
            </w:pPr>
            <w:proofErr w:type="spellStart"/>
            <w:r>
              <w:rPr>
                <w:color w:val="1B4B45"/>
                <w:sz w:val="15"/>
                <w:szCs w:val="15"/>
              </w:rPr>
              <w:t>MultiState</w:t>
            </w:r>
            <w:proofErr w:type="spellEnd"/>
            <w:r>
              <w:rPr>
                <w:color w:val="1B4B45"/>
                <w:sz w:val="15"/>
                <w:szCs w:val="15"/>
              </w:rPr>
              <w:t>, State Data Center Policy 101, updated July 17, 2026: https://www.multistate.us/resources/state-data-center-policy-101</w:t>
            </w:r>
          </w:p>
        </w:tc>
      </w:tr>
      <w:tr w:rsidR="002932F8" w14:paraId="58EB7E21" w14:textId="77777777">
        <w:tc>
          <w:tcPr>
            <w:tcW w:w="2016" w:type="dxa"/>
            <w:tcBorders>
              <w:top w:val="nil"/>
              <w:left w:val="nil"/>
              <w:bottom w:val="nil"/>
              <w:right w:val="nil"/>
            </w:tcBorders>
            <w:tcMar>
              <w:top w:w="0" w:type="dxa"/>
              <w:left w:w="108" w:type="dxa"/>
              <w:bottom w:w="0" w:type="dxa"/>
              <w:right w:w="108" w:type="dxa"/>
            </w:tcMar>
            <w:vAlign w:val="center"/>
            <w:hideMark/>
          </w:tcPr>
          <w:p w14:paraId="2ABD35E9" w14:textId="77777777" w:rsidR="002932F8" w:rsidRDefault="002932F8">
            <w:pPr>
              <w:spacing w:after="0"/>
              <w:jc w:val="center"/>
            </w:pPr>
            <w:r>
              <w:rPr>
                <w:color w:val="1B4B45"/>
                <w:sz w:val="15"/>
                <w:szCs w:val="15"/>
              </w:rPr>
              <w:t>Data-center regulation</w:t>
            </w:r>
          </w:p>
        </w:tc>
        <w:tc>
          <w:tcPr>
            <w:tcW w:w="8640" w:type="dxa"/>
            <w:tcBorders>
              <w:top w:val="nil"/>
              <w:left w:val="nil"/>
              <w:bottom w:val="nil"/>
              <w:right w:val="nil"/>
            </w:tcBorders>
            <w:tcMar>
              <w:top w:w="0" w:type="dxa"/>
              <w:left w:w="108" w:type="dxa"/>
              <w:bottom w:w="0" w:type="dxa"/>
              <w:right w:w="108" w:type="dxa"/>
            </w:tcMar>
            <w:vAlign w:val="center"/>
            <w:hideMark/>
          </w:tcPr>
          <w:p w14:paraId="37C9EF3B" w14:textId="77777777" w:rsidR="002932F8" w:rsidRDefault="002932F8">
            <w:pPr>
              <w:spacing w:after="0"/>
            </w:pPr>
            <w:proofErr w:type="spellStart"/>
            <w:r>
              <w:rPr>
                <w:color w:val="1B4B45"/>
                <w:sz w:val="15"/>
                <w:szCs w:val="15"/>
              </w:rPr>
              <w:t>ArentFox</w:t>
            </w:r>
            <w:proofErr w:type="spellEnd"/>
            <w:r>
              <w:rPr>
                <w:color w:val="1B4B45"/>
                <w:sz w:val="15"/>
                <w:szCs w:val="15"/>
              </w:rPr>
              <w:t xml:space="preserve"> Schiff, State Regulation of Data Centers in 2026, April 13, 2026: https://www.afslaw.com/perspectives/alerts/state-regulation-data-centers-2026-shifting-landscape</w:t>
            </w:r>
          </w:p>
        </w:tc>
      </w:tr>
      <w:tr w:rsidR="002932F8" w14:paraId="515DD057" w14:textId="77777777">
        <w:tc>
          <w:tcPr>
            <w:tcW w:w="2016" w:type="dxa"/>
            <w:tcBorders>
              <w:top w:val="nil"/>
              <w:left w:val="nil"/>
              <w:bottom w:val="nil"/>
              <w:right w:val="nil"/>
            </w:tcBorders>
            <w:shd w:val="clear" w:color="auto" w:fill="E6F2F0"/>
            <w:tcMar>
              <w:top w:w="0" w:type="dxa"/>
              <w:left w:w="108" w:type="dxa"/>
              <w:bottom w:w="0" w:type="dxa"/>
              <w:right w:w="108" w:type="dxa"/>
            </w:tcMar>
            <w:vAlign w:val="center"/>
            <w:hideMark/>
          </w:tcPr>
          <w:p w14:paraId="5D528DB4" w14:textId="77777777" w:rsidR="002932F8" w:rsidRDefault="002932F8">
            <w:pPr>
              <w:spacing w:after="0"/>
              <w:jc w:val="center"/>
            </w:pPr>
            <w:r>
              <w:rPr>
                <w:color w:val="1B4B45"/>
                <w:sz w:val="15"/>
                <w:szCs w:val="15"/>
              </w:rPr>
              <w:t>Large-load tariffs</w:t>
            </w:r>
          </w:p>
        </w:tc>
        <w:tc>
          <w:tcPr>
            <w:tcW w:w="8640" w:type="dxa"/>
            <w:tcBorders>
              <w:top w:val="nil"/>
              <w:left w:val="nil"/>
              <w:bottom w:val="nil"/>
              <w:right w:val="nil"/>
            </w:tcBorders>
            <w:shd w:val="clear" w:color="auto" w:fill="E6F2F0"/>
            <w:tcMar>
              <w:top w:w="0" w:type="dxa"/>
              <w:left w:w="108" w:type="dxa"/>
              <w:bottom w:w="0" w:type="dxa"/>
              <w:right w:w="108" w:type="dxa"/>
            </w:tcMar>
            <w:vAlign w:val="center"/>
            <w:hideMark/>
          </w:tcPr>
          <w:p w14:paraId="43132ACD" w14:textId="77777777" w:rsidR="002932F8" w:rsidRDefault="002932F8">
            <w:pPr>
              <w:spacing w:after="0"/>
            </w:pPr>
            <w:r>
              <w:rPr>
                <w:color w:val="1B4B45"/>
                <w:sz w:val="15"/>
                <w:szCs w:val="15"/>
              </w:rPr>
              <w:t>The Terms of Power, March 2026: https://44409563.fs1.hubspotusercontent-na1.net/hubfs/44409563/Terms%20of%20Power_White%20Paper_260316.pdf</w:t>
            </w:r>
          </w:p>
        </w:tc>
      </w:tr>
      <w:tr w:rsidR="002932F8" w14:paraId="4A04466A" w14:textId="77777777">
        <w:tc>
          <w:tcPr>
            <w:tcW w:w="2016" w:type="dxa"/>
            <w:tcBorders>
              <w:top w:val="nil"/>
              <w:left w:val="nil"/>
              <w:bottom w:val="nil"/>
              <w:right w:val="nil"/>
            </w:tcBorders>
            <w:tcMar>
              <w:top w:w="0" w:type="dxa"/>
              <w:left w:w="108" w:type="dxa"/>
              <w:bottom w:w="0" w:type="dxa"/>
              <w:right w:w="108" w:type="dxa"/>
            </w:tcMar>
            <w:vAlign w:val="center"/>
            <w:hideMark/>
          </w:tcPr>
          <w:p w14:paraId="170E7997" w14:textId="77777777" w:rsidR="002932F8" w:rsidRDefault="002932F8">
            <w:pPr>
              <w:spacing w:after="0"/>
              <w:jc w:val="center"/>
            </w:pPr>
            <w:r>
              <w:rPr>
                <w:color w:val="1B4B45"/>
                <w:sz w:val="15"/>
                <w:szCs w:val="15"/>
              </w:rPr>
              <w:t>Storage targets</w:t>
            </w:r>
          </w:p>
        </w:tc>
        <w:tc>
          <w:tcPr>
            <w:tcW w:w="8640" w:type="dxa"/>
            <w:tcBorders>
              <w:top w:val="nil"/>
              <w:left w:val="nil"/>
              <w:bottom w:val="nil"/>
              <w:right w:val="nil"/>
            </w:tcBorders>
            <w:tcMar>
              <w:top w:w="0" w:type="dxa"/>
              <w:left w:w="108" w:type="dxa"/>
              <w:bottom w:w="0" w:type="dxa"/>
              <w:right w:w="108" w:type="dxa"/>
            </w:tcMar>
            <w:vAlign w:val="center"/>
            <w:hideMark/>
          </w:tcPr>
          <w:p w14:paraId="215B637C" w14:textId="77777777" w:rsidR="002932F8" w:rsidRDefault="002932F8">
            <w:pPr>
              <w:spacing w:after="0"/>
            </w:pPr>
            <w:r>
              <w:rPr>
                <w:color w:val="1B4B45"/>
                <w:sz w:val="15"/>
                <w:szCs w:val="15"/>
              </w:rPr>
              <w:t xml:space="preserve">Climate </w:t>
            </w:r>
            <w:proofErr w:type="spellStart"/>
            <w:r>
              <w:rPr>
                <w:color w:val="1B4B45"/>
                <w:sz w:val="15"/>
                <w:szCs w:val="15"/>
              </w:rPr>
              <w:t>XChange</w:t>
            </w:r>
            <w:proofErr w:type="spellEnd"/>
            <w:r>
              <w:rPr>
                <w:color w:val="1B4B45"/>
                <w:sz w:val="15"/>
                <w:szCs w:val="15"/>
              </w:rPr>
              <w:t>, Energy Storage Targets, updated March 5, 2026: https://www.climatepolicydashboard.org/policies/electricity/energy-storage-targets</w:t>
            </w:r>
          </w:p>
        </w:tc>
      </w:tr>
      <w:tr w:rsidR="002932F8" w14:paraId="6CC1FBDF" w14:textId="77777777">
        <w:tc>
          <w:tcPr>
            <w:tcW w:w="2016" w:type="dxa"/>
            <w:tcBorders>
              <w:top w:val="nil"/>
              <w:left w:val="nil"/>
              <w:bottom w:val="nil"/>
              <w:right w:val="nil"/>
            </w:tcBorders>
            <w:shd w:val="clear" w:color="auto" w:fill="E6F2F0"/>
            <w:tcMar>
              <w:top w:w="0" w:type="dxa"/>
              <w:left w:w="108" w:type="dxa"/>
              <w:bottom w:w="0" w:type="dxa"/>
              <w:right w:w="108" w:type="dxa"/>
            </w:tcMar>
            <w:vAlign w:val="center"/>
            <w:hideMark/>
          </w:tcPr>
          <w:p w14:paraId="210E3D75" w14:textId="77777777" w:rsidR="002932F8" w:rsidRDefault="002932F8">
            <w:pPr>
              <w:spacing w:after="0"/>
              <w:jc w:val="center"/>
            </w:pPr>
            <w:r>
              <w:rPr>
                <w:color w:val="1B4B45"/>
                <w:sz w:val="15"/>
                <w:szCs w:val="15"/>
              </w:rPr>
              <w:t>Siting authority</w:t>
            </w:r>
          </w:p>
        </w:tc>
        <w:tc>
          <w:tcPr>
            <w:tcW w:w="8640" w:type="dxa"/>
            <w:tcBorders>
              <w:top w:val="nil"/>
              <w:left w:val="nil"/>
              <w:bottom w:val="nil"/>
              <w:right w:val="nil"/>
            </w:tcBorders>
            <w:shd w:val="clear" w:color="auto" w:fill="E6F2F0"/>
            <w:tcMar>
              <w:top w:w="0" w:type="dxa"/>
              <w:left w:w="108" w:type="dxa"/>
              <w:bottom w:w="0" w:type="dxa"/>
              <w:right w:w="108" w:type="dxa"/>
            </w:tcMar>
            <w:vAlign w:val="center"/>
            <w:hideMark/>
          </w:tcPr>
          <w:p w14:paraId="3A586907" w14:textId="77777777" w:rsidR="002932F8" w:rsidRDefault="002932F8">
            <w:pPr>
              <w:spacing w:after="0"/>
            </w:pPr>
            <w:r>
              <w:rPr>
                <w:color w:val="1B4B45"/>
                <w:sz w:val="15"/>
                <w:szCs w:val="15"/>
              </w:rPr>
              <w:t xml:space="preserve">Climate </w:t>
            </w:r>
            <w:proofErr w:type="spellStart"/>
            <w:r>
              <w:rPr>
                <w:color w:val="1B4B45"/>
                <w:sz w:val="15"/>
                <w:szCs w:val="15"/>
              </w:rPr>
              <w:t>XChange</w:t>
            </w:r>
            <w:proofErr w:type="spellEnd"/>
            <w:r>
              <w:rPr>
                <w:color w:val="1B4B45"/>
                <w:sz w:val="15"/>
                <w:szCs w:val="15"/>
              </w:rPr>
              <w:t>, Consolidated State Siting and Permitting Authority, updated March 5, 2026: https://www.climatepolicydashboard.org/policies/electricity/siting-permitting-authority</w:t>
            </w:r>
          </w:p>
        </w:tc>
      </w:tr>
      <w:tr w:rsidR="002932F8" w14:paraId="5DF00A69" w14:textId="77777777">
        <w:tc>
          <w:tcPr>
            <w:tcW w:w="2016" w:type="dxa"/>
            <w:tcBorders>
              <w:top w:val="nil"/>
              <w:left w:val="nil"/>
              <w:bottom w:val="nil"/>
              <w:right w:val="nil"/>
            </w:tcBorders>
            <w:tcMar>
              <w:top w:w="0" w:type="dxa"/>
              <w:left w:w="108" w:type="dxa"/>
              <w:bottom w:w="0" w:type="dxa"/>
              <w:right w:w="108" w:type="dxa"/>
            </w:tcMar>
            <w:vAlign w:val="center"/>
            <w:hideMark/>
          </w:tcPr>
          <w:p w14:paraId="68E87B0B" w14:textId="77777777" w:rsidR="002932F8" w:rsidRDefault="002932F8">
            <w:pPr>
              <w:spacing w:after="0"/>
              <w:jc w:val="center"/>
            </w:pPr>
            <w:r>
              <w:rPr>
                <w:color w:val="1B4B45"/>
                <w:sz w:val="15"/>
                <w:szCs w:val="15"/>
              </w:rPr>
              <w:t>Climate Superfund</w:t>
            </w:r>
          </w:p>
        </w:tc>
        <w:tc>
          <w:tcPr>
            <w:tcW w:w="8640" w:type="dxa"/>
            <w:tcBorders>
              <w:top w:val="nil"/>
              <w:left w:val="nil"/>
              <w:bottom w:val="nil"/>
              <w:right w:val="nil"/>
            </w:tcBorders>
            <w:tcMar>
              <w:top w:w="0" w:type="dxa"/>
              <w:left w:w="108" w:type="dxa"/>
              <w:bottom w:w="0" w:type="dxa"/>
              <w:right w:w="108" w:type="dxa"/>
            </w:tcMar>
            <w:vAlign w:val="center"/>
            <w:hideMark/>
          </w:tcPr>
          <w:p w14:paraId="39C53787" w14:textId="77777777" w:rsidR="002932F8" w:rsidRDefault="002932F8">
            <w:pPr>
              <w:spacing w:after="0"/>
            </w:pPr>
            <w:r>
              <w:rPr>
                <w:color w:val="1B4B45"/>
                <w:sz w:val="15"/>
                <w:szCs w:val="15"/>
              </w:rPr>
              <w:t>Georgetown Environmental Law Review, The Pending Fate of Climate Superfund Statutes, January 29, 2026: https://www.law.georgetown.edu/environmental-law-review/blog/the-pending-fate-of-climate-superfund-statutes/</w:t>
            </w:r>
          </w:p>
        </w:tc>
      </w:tr>
      <w:tr w:rsidR="002932F8" w14:paraId="76C93C36" w14:textId="77777777">
        <w:tc>
          <w:tcPr>
            <w:tcW w:w="2016"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5CCC4C36" w14:textId="77777777" w:rsidR="002932F8" w:rsidRDefault="002932F8">
            <w:pPr>
              <w:spacing w:after="0"/>
              <w:jc w:val="center"/>
            </w:pPr>
            <w:r>
              <w:rPr>
                <w:color w:val="1B4B45"/>
                <w:sz w:val="15"/>
                <w:szCs w:val="15"/>
              </w:rPr>
              <w:t>Affordability context</w:t>
            </w:r>
          </w:p>
        </w:tc>
        <w:tc>
          <w:tcPr>
            <w:tcW w:w="8640" w:type="dxa"/>
            <w:tcBorders>
              <w:top w:val="nil"/>
              <w:left w:val="nil"/>
              <w:bottom w:val="single" w:sz="8" w:space="0" w:color="2F8577"/>
              <w:right w:val="nil"/>
            </w:tcBorders>
            <w:shd w:val="clear" w:color="auto" w:fill="E6F2F0"/>
            <w:tcMar>
              <w:top w:w="0" w:type="dxa"/>
              <w:left w:w="108" w:type="dxa"/>
              <w:bottom w:w="0" w:type="dxa"/>
              <w:right w:w="108" w:type="dxa"/>
            </w:tcMar>
            <w:vAlign w:val="center"/>
            <w:hideMark/>
          </w:tcPr>
          <w:p w14:paraId="2494AD4D" w14:textId="77777777" w:rsidR="002932F8" w:rsidRDefault="002932F8">
            <w:pPr>
              <w:spacing w:after="0"/>
            </w:pPr>
            <w:r>
              <w:rPr>
                <w:color w:val="1B4B45"/>
                <w:sz w:val="15"/>
                <w:szCs w:val="15"/>
              </w:rPr>
              <w:t>Center for American Progress, Electric and Natural Gas Utility Rate Hikes Tracker, updated August 5, 2026: https://www.americanprogress.org/article/electric-and-natural-gas-utility-rate-hikes-tracker/</w:t>
            </w:r>
          </w:p>
        </w:tc>
      </w:tr>
    </w:tbl>
    <w:p w14:paraId="5E976288" w14:textId="77777777" w:rsidR="006F72DF" w:rsidRDefault="006F72DF"/>
    <w:sectPr w:rsidR="006F72DF" w:rsidSect="00034616">
      <w:headerReference w:type="default" r:id="rId11"/>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2D1C92" w14:textId="77777777" w:rsidR="00626B92" w:rsidRDefault="00626B92">
      <w:pPr>
        <w:spacing w:after="0" w:line="240" w:lineRule="auto"/>
      </w:pPr>
      <w:r>
        <w:separator/>
      </w:r>
    </w:p>
  </w:endnote>
  <w:endnote w:type="continuationSeparator" w:id="0">
    <w:p w14:paraId="1046480A" w14:textId="77777777" w:rsidR="00626B92" w:rsidRDefault="0062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DFD4D" w14:textId="77777777" w:rsidR="003C0548" w:rsidRDefault="006F72DF">
    <w:pPr>
      <w:pStyle w:val="Footer"/>
      <w:jc w:val="center"/>
    </w:pPr>
    <w:r>
      <w:rPr>
        <w:color w:val="646464"/>
        <w:sz w:val="15"/>
      </w:rPr>
      <w:t>Executive briefing | Internal analytical baseline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5F39E6" w14:textId="77777777" w:rsidR="00626B92" w:rsidRDefault="00626B92">
      <w:pPr>
        <w:spacing w:after="0" w:line="240" w:lineRule="auto"/>
      </w:pPr>
      <w:r>
        <w:separator/>
      </w:r>
    </w:p>
  </w:footnote>
  <w:footnote w:type="continuationSeparator" w:id="0">
    <w:p w14:paraId="6176E40F" w14:textId="77777777" w:rsidR="00626B92" w:rsidRDefault="00626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4173B" w14:textId="77777777" w:rsidR="003C0548" w:rsidRDefault="006F72DF">
    <w:pPr>
      <w:pStyle w:val="Header"/>
      <w:jc w:val="right"/>
    </w:pPr>
    <w:r>
      <w:rPr>
        <w:color w:val="646464"/>
        <w:sz w:val="15"/>
      </w:rPr>
      <w:t>ILLINOIS LEGISLATIVE TREND REPORT | 2020-2026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728298">
    <w:abstractNumId w:val="8"/>
  </w:num>
  <w:num w:numId="2" w16cid:durableId="1069034505">
    <w:abstractNumId w:val="6"/>
  </w:num>
  <w:num w:numId="3" w16cid:durableId="1843665341">
    <w:abstractNumId w:val="5"/>
  </w:num>
  <w:num w:numId="4" w16cid:durableId="587543482">
    <w:abstractNumId w:val="4"/>
  </w:num>
  <w:num w:numId="5" w16cid:durableId="1868791699">
    <w:abstractNumId w:val="7"/>
  </w:num>
  <w:num w:numId="6" w16cid:durableId="219941883">
    <w:abstractNumId w:val="3"/>
  </w:num>
  <w:num w:numId="7" w16cid:durableId="1830094204">
    <w:abstractNumId w:val="2"/>
  </w:num>
  <w:num w:numId="8" w16cid:durableId="1288009647">
    <w:abstractNumId w:val="1"/>
  </w:num>
  <w:num w:numId="9" w16cid:durableId="107697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BB"/>
    <w:rsid w:val="0006063C"/>
    <w:rsid w:val="0015074B"/>
    <w:rsid w:val="002335A1"/>
    <w:rsid w:val="002932F8"/>
    <w:rsid w:val="0029639D"/>
    <w:rsid w:val="00326F90"/>
    <w:rsid w:val="003C0548"/>
    <w:rsid w:val="00626B92"/>
    <w:rsid w:val="006F72DF"/>
    <w:rsid w:val="007979B9"/>
    <w:rsid w:val="008B44EA"/>
    <w:rsid w:val="00AA1D8D"/>
    <w:rsid w:val="00B47730"/>
    <w:rsid w:val="00CB0664"/>
    <w:rsid w:val="00CB0DF7"/>
    <w:rsid w:val="00CC500E"/>
    <w:rsid w:val="00CC6E2D"/>
    <w:rsid w:val="00DB424D"/>
    <w:rsid w:val="00DC6AC7"/>
    <w:rsid w:val="00DF1AB1"/>
    <w:rsid w:val="00E23FC0"/>
    <w:rsid w:val="00E74D41"/>
    <w:rsid w:val="00FC693F"/>
    <w:rsid w:val="00FD0B70"/>
    <w:rsid w:val="2E92F8CF"/>
    <w:rsid w:val="607C2C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02EB53-E22E-4E5B-8517-919E2F17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Aptos" w:hAnsi="Aptos"/>
      <w:i/>
      <w:color w:val="5A5A5A"/>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3297</Words>
  <Characters>18796</Characters>
  <Application>Microsoft Office Word</Application>
  <DocSecurity>0</DocSecurity>
  <Lines>156</Lines>
  <Paragraphs>44</Paragraphs>
  <ScaleCrop>false</ScaleCrop>
  <Manager/>
  <Company/>
  <LinksUpToDate>false</LinksUpToDate>
  <CharactersWithSpaces>22049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Legislative Trend Report 2020-2026</dc:title>
  <dc:subject>Executive briefing and Political R&amp;D baseline</dc:subject>
  <dc:creator>Coats, Broderick T</dc:creator>
  <cp:keywords/>
  <dc:description>generated by python-docx</dc:description>
  <cp:lastModifiedBy>Vazquez, Nancy</cp:lastModifiedBy>
  <cp:revision>2</cp:revision>
  <dcterms:created xsi:type="dcterms:W3CDTF">2026-09-22T15:52:00Z</dcterms:created>
  <dcterms:modified xsi:type="dcterms:W3CDTF">2026-09-22T15:52:00Z</dcterms:modified>
  <cp:category/>
</cp:coreProperties>
</file>