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5041B" w14:textId="77777777" w:rsidR="007E3836" w:rsidRDefault="00000000">
      <w:pPr>
        <w:pStyle w:val="Small"/>
        <w:jc w:val="center"/>
      </w:pPr>
      <w:r>
        <w:t>BUSINESS ACUMEN PLAYBOOK</w:t>
      </w:r>
    </w:p>
    <w:p w14:paraId="284B2919" w14:textId="77777777" w:rsidR="007E3836" w:rsidRDefault="00000000">
      <w:pPr>
        <w:spacing w:before="1200"/>
        <w:jc w:val="center"/>
      </w:pPr>
      <w:r>
        <w:rPr>
          <w:rFonts w:ascii="Aptos Display" w:hAnsi="Aptos Display"/>
          <w:b/>
          <w:color w:val="17365D"/>
          <w:sz w:val="60"/>
        </w:rPr>
        <w:t>MISO ERAS and the</w:t>
      </w:r>
      <w:r>
        <w:rPr>
          <w:rFonts w:ascii="Aptos Display" w:hAnsi="Aptos Display"/>
          <w:b/>
          <w:color w:val="17365D"/>
          <w:sz w:val="60"/>
        </w:rPr>
        <w:br/>
        <w:t>Generation Development Cycle</w:t>
      </w:r>
    </w:p>
    <w:p w14:paraId="66745AC7" w14:textId="77777777" w:rsidR="007E3836" w:rsidRDefault="00000000">
      <w:pPr>
        <w:jc w:val="center"/>
      </w:pPr>
      <w:r>
        <w:rPr>
          <w:i/>
          <w:color w:val="167D8D"/>
          <w:sz w:val="26"/>
        </w:rPr>
        <w:t>How reliability need becomes a project, an interconnection agreement, accredited capacity, and ultimately service to customers</w:t>
      </w:r>
    </w:p>
    <w:tbl>
      <w:tblPr>
        <w:tblW w:w="0" w:type="auto"/>
        <w:jc w:val="center"/>
        <w:tblLook w:val="04A0" w:firstRow="1" w:lastRow="0" w:firstColumn="1" w:lastColumn="0" w:noHBand="0" w:noVBand="1"/>
      </w:tblPr>
      <w:tblGrid>
        <w:gridCol w:w="9936"/>
      </w:tblGrid>
      <w:tr w:rsidR="007E3836" w14:paraId="5056A873" w14:textId="77777777">
        <w:trPr>
          <w:jc w:val="center"/>
        </w:trPr>
        <w:tc>
          <w:tcPr>
            <w:tcW w:w="9936" w:type="dxa"/>
            <w:shd w:val="clear" w:color="auto" w:fill="EAF2F8"/>
            <w:tcMar>
              <w:top w:w="220" w:type="dxa"/>
              <w:left w:w="250" w:type="dxa"/>
              <w:bottom w:w="220" w:type="dxa"/>
              <w:right w:w="250" w:type="dxa"/>
            </w:tcMar>
          </w:tcPr>
          <w:p w14:paraId="18CB7510" w14:textId="77777777" w:rsidR="007E3836" w:rsidRDefault="00000000">
            <w:pPr>
              <w:spacing w:after="40" w:line="245" w:lineRule="auto"/>
            </w:pPr>
            <w:r>
              <w:rPr>
                <w:b/>
              </w:rPr>
              <w:t>Purpose</w:t>
            </w:r>
            <w:r>
              <w:rPr>
                <w:b/>
              </w:rPr>
              <w:br/>
            </w:r>
            <w:r>
              <w:t>Build practical business fluency for government relations, economic development, utility planning, and policy discussions involving new generation, storage, large loads, and MISO reliability processes.</w:t>
            </w:r>
          </w:p>
        </w:tc>
      </w:tr>
    </w:tbl>
    <w:p w14:paraId="2789221D" w14:textId="77777777" w:rsidR="007E3836" w:rsidRDefault="00000000">
      <w:pPr>
        <w:pStyle w:val="Small"/>
        <w:jc w:val="center"/>
      </w:pPr>
      <w:r>
        <w:br/>
        <w:t>Prepared for Broderick T. Coats</w:t>
      </w:r>
      <w:r>
        <w:br/>
        <w:t>September 2026</w:t>
      </w:r>
    </w:p>
    <w:p w14:paraId="52EE804F" w14:textId="77777777" w:rsidR="007E3836" w:rsidRDefault="00000000">
      <w:r>
        <w:br w:type="page"/>
      </w:r>
    </w:p>
    <w:p w14:paraId="22BD455F" w14:textId="77777777" w:rsidR="007E3836" w:rsidRDefault="00000000">
      <w:pPr>
        <w:pStyle w:val="Heading1"/>
      </w:pPr>
      <w:r>
        <w:lastRenderedPageBreak/>
        <w:t>How to Use This Playbook</w:t>
      </w:r>
    </w:p>
    <w:p w14:paraId="73B7923B" w14:textId="77777777" w:rsidR="007E3836" w:rsidRDefault="00D9530B" w:rsidP="0066500C">
      <w:r w:rsidRPr="00D9530B">
        <w:t>Use this playbook as a practical briefing guide, not an engineering manual. It is designed to help government relations, economic development, utility planning, and policy teams explain how reliability need becomes dependable capacity, where the process can break down, and which decisions require statutory, regulatory, commercial, or stakeholder action.</w:t>
      </w:r>
    </w:p>
    <w:tbl>
      <w:tblPr>
        <w:tblW w:w="0" w:type="auto"/>
        <w:jc w:val="center"/>
        <w:tblLayout w:type="fixed"/>
        <w:tblLook w:val="04A0" w:firstRow="1" w:lastRow="0" w:firstColumn="1" w:lastColumn="0" w:noHBand="0" w:noVBand="1"/>
      </w:tblPr>
      <w:tblGrid>
        <w:gridCol w:w="9936"/>
      </w:tblGrid>
      <w:tr w:rsidR="007E3836" w14:paraId="606816AA" w14:textId="77777777">
        <w:trPr>
          <w:jc w:val="center"/>
        </w:trPr>
        <w:tc>
          <w:tcPr>
            <w:tcW w:w="9936" w:type="dxa"/>
            <w:shd w:val="clear" w:color="auto" w:fill="EAF2F8"/>
            <w:tcMar>
              <w:top w:w="150" w:type="dxa"/>
              <w:left w:w="180" w:type="dxa"/>
              <w:bottom w:w="150" w:type="dxa"/>
              <w:right w:w="180" w:type="dxa"/>
            </w:tcMar>
          </w:tcPr>
          <w:p w14:paraId="7549439B" w14:textId="77777777" w:rsidR="00D9530B" w:rsidRDefault="00D9530B">
            <w:pPr>
              <w:rPr>
                <w:kern w:val="2"/>
                <w:szCs w:val="20"/>
                <w14:ligatures w14:val="standardContextual"/>
              </w:rPr>
            </w:pPr>
            <w:r>
              <w:t>The plain-English through-line is this: ERAS can help compress one important step in the development chain, but it does not by itself build generation, secure fuel, finance a project, obtain permits, qualify capacity, or protect customers from bad assumptions.</w:t>
            </w:r>
          </w:p>
          <w:p w14:paraId="72A288D4" w14:textId="77777777" w:rsidR="007E3836" w:rsidRDefault="00000000">
            <w:pPr>
              <w:spacing w:after="40" w:line="245" w:lineRule="auto"/>
            </w:pPr>
            <w:r>
              <w:rPr>
                <w:b/>
                <w:color w:val="17365D"/>
                <w:sz w:val="22"/>
              </w:rPr>
              <w:t>The core idea</w:t>
            </w:r>
            <w:r>
              <w:rPr>
                <w:b/>
                <w:color w:val="17365D"/>
                <w:sz w:val="22"/>
              </w:rPr>
              <w:br/>
            </w:r>
            <w:r>
              <w:rPr>
                <w:sz w:val="19"/>
              </w:rPr>
              <w:t>There is no single “generation cycle.” Business acumen comes from seeing several cycles operating at once: the physical project-development cycle, MISO’s interconnection study cycle, the annual resource-adequacy and capacity-market cycle, the transmission-planning cycle, and the political and regulatory decision cycle.</w:t>
            </w:r>
          </w:p>
        </w:tc>
      </w:tr>
    </w:tbl>
    <w:p w14:paraId="143A5618" w14:textId="77777777" w:rsidR="007E3836" w:rsidRDefault="007E3836">
      <w:pPr>
        <w:spacing w:after="20"/>
      </w:pPr>
    </w:p>
    <w:p w14:paraId="031037A8" w14:textId="77777777" w:rsidR="00D9530B" w:rsidRDefault="00D9530B">
      <w:pPr>
        <w:pStyle w:val="Heading2"/>
        <w:rPr>
          <w:kern w:val="2"/>
          <w:szCs w:val="28"/>
          <w14:ligatures w14:val="standardContextual"/>
        </w:rPr>
      </w:pPr>
      <w:r>
        <w:t>Reader’s Map</w:t>
      </w:r>
    </w:p>
    <w:p w14:paraId="3DC73CA3" w14:textId="77777777" w:rsidR="00D9530B" w:rsidRDefault="00D9530B">
      <w:pPr>
        <w:rPr>
          <w:kern w:val="2"/>
          <w:szCs w:val="20"/>
          <w14:ligatures w14:val="standardContextual"/>
        </w:rPr>
      </w:pPr>
      <w:r>
        <w:t>The first half of the playbook builds the operating model: what ERAS is, how interconnection differs from resource adequacy, and why project development moves through several overlapping cycles. The second half applies that model to Illinois, Ameren Illinois, large-load growth, and the government-relations work needed to keep reliability, affordability, and economic development in balance.</w:t>
      </w:r>
    </w:p>
    <w:p w14:paraId="1D05A47F" w14:textId="77777777" w:rsidR="007E3836" w:rsidRDefault="00000000">
      <w:pPr>
        <w:pStyle w:val="Heading2"/>
      </w:pPr>
      <w:r>
        <w:t>Learning Outcomes</w:t>
      </w:r>
    </w:p>
    <w:p w14:paraId="7C846470" w14:textId="77777777" w:rsidR="007E3836" w:rsidRDefault="00000000">
      <w:pPr>
        <w:pStyle w:val="ListBullet"/>
      </w:pPr>
      <w:r>
        <w:t>Explain ERAS in plain language without treating it as permission to build.</w:t>
      </w:r>
    </w:p>
    <w:p w14:paraId="7E0E27C0" w14:textId="77777777" w:rsidR="007E3836" w:rsidRDefault="00000000">
      <w:pPr>
        <w:pStyle w:val="ListBullet"/>
      </w:pPr>
      <w:r>
        <w:t>Distinguish nameplate MW, interconnection service, accredited capacity, energy output, and deliverability.</w:t>
      </w:r>
    </w:p>
    <w:p w14:paraId="0017F5C0" w14:textId="77777777" w:rsidR="007E3836" w:rsidRDefault="00000000">
      <w:pPr>
        <w:pStyle w:val="ListBullet"/>
      </w:pPr>
      <w:r>
        <w:t>Recognize where a project can stall and which party controls the next decision.</w:t>
      </w:r>
    </w:p>
    <w:p w14:paraId="323B8A1D" w14:textId="77777777" w:rsidR="007E3836" w:rsidRDefault="00000000">
      <w:pPr>
        <w:pStyle w:val="ListBullet"/>
      </w:pPr>
      <w:r>
        <w:t>Connect large-load attraction to resource adequacy, transmission, tariffs, cost allocation, and customer risk.</w:t>
      </w:r>
    </w:p>
    <w:p w14:paraId="312E3954" w14:textId="77777777" w:rsidR="007E3836" w:rsidRDefault="00000000">
      <w:pPr>
        <w:pStyle w:val="ListBullet"/>
      </w:pPr>
      <w:r>
        <w:t>Ask sharper questions of developers, planners, regulators, legislators, and economic-development partners.</w:t>
      </w:r>
    </w:p>
    <w:p w14:paraId="555A14DF" w14:textId="77777777" w:rsidR="007E3836" w:rsidRDefault="00000000">
      <w:pPr>
        <w:pStyle w:val="Heading2"/>
      </w:pPr>
      <w:r>
        <w:t>Quick Navigation</w:t>
      </w:r>
    </w:p>
    <w:tbl>
      <w:tblPr>
        <w:tblStyle w:val="TableGrid"/>
        <w:tblW w:w="0" w:type="auto"/>
        <w:jc w:val="center"/>
        <w:tblLayout w:type="fixed"/>
        <w:tblLook w:val="04A0" w:firstRow="1" w:lastRow="0" w:firstColumn="1" w:lastColumn="0" w:noHBand="0" w:noVBand="1"/>
      </w:tblPr>
      <w:tblGrid>
        <w:gridCol w:w="2736"/>
        <w:gridCol w:w="7056"/>
      </w:tblGrid>
      <w:tr w:rsidR="007E3836" w14:paraId="268B21D8" w14:textId="77777777">
        <w:trPr>
          <w:tblHeader/>
          <w:jc w:val="center"/>
        </w:trPr>
        <w:tc>
          <w:tcPr>
            <w:tcW w:w="2736" w:type="dxa"/>
            <w:shd w:val="clear" w:color="auto" w:fill="17365D"/>
            <w:tcMar>
              <w:top w:w="100" w:type="dxa"/>
              <w:left w:w="120" w:type="dxa"/>
              <w:bottom w:w="100" w:type="dxa"/>
              <w:right w:w="120" w:type="dxa"/>
            </w:tcMar>
            <w:vAlign w:val="center"/>
          </w:tcPr>
          <w:p w14:paraId="7BDF822E" w14:textId="77777777" w:rsidR="007E3836" w:rsidRDefault="00000000">
            <w:pPr>
              <w:spacing w:after="40" w:line="245" w:lineRule="auto"/>
            </w:pPr>
            <w:r>
              <w:rPr>
                <w:b/>
                <w:color w:val="FFFFFF"/>
                <w:sz w:val="17"/>
              </w:rPr>
              <w:t>Section</w:t>
            </w:r>
          </w:p>
        </w:tc>
        <w:tc>
          <w:tcPr>
            <w:tcW w:w="7056" w:type="dxa"/>
            <w:shd w:val="clear" w:color="auto" w:fill="17365D"/>
            <w:tcMar>
              <w:top w:w="100" w:type="dxa"/>
              <w:left w:w="120" w:type="dxa"/>
              <w:bottom w:w="100" w:type="dxa"/>
              <w:right w:w="120" w:type="dxa"/>
            </w:tcMar>
            <w:vAlign w:val="center"/>
          </w:tcPr>
          <w:p w14:paraId="48921061" w14:textId="77777777" w:rsidR="007E3836" w:rsidRDefault="00000000">
            <w:pPr>
              <w:spacing w:after="40" w:line="245" w:lineRule="auto"/>
            </w:pPr>
            <w:r>
              <w:rPr>
                <w:b/>
                <w:color w:val="FFFFFF"/>
                <w:sz w:val="17"/>
              </w:rPr>
              <w:t>What it builds</w:t>
            </w:r>
          </w:p>
        </w:tc>
      </w:tr>
      <w:tr w:rsidR="007E3836" w14:paraId="69B8CC5A" w14:textId="77777777">
        <w:trPr>
          <w:cantSplit/>
          <w:jc w:val="center"/>
        </w:trPr>
        <w:tc>
          <w:tcPr>
            <w:tcW w:w="2736" w:type="dxa"/>
            <w:tcMar>
              <w:top w:w="100" w:type="dxa"/>
              <w:left w:w="120" w:type="dxa"/>
              <w:bottom w:w="100" w:type="dxa"/>
              <w:right w:w="120" w:type="dxa"/>
            </w:tcMar>
            <w:vAlign w:val="center"/>
          </w:tcPr>
          <w:p w14:paraId="429E35AF" w14:textId="77777777" w:rsidR="007E3836" w:rsidRDefault="00000000">
            <w:pPr>
              <w:spacing w:after="40" w:line="245" w:lineRule="auto"/>
            </w:pPr>
            <w:r>
              <w:rPr>
                <w:sz w:val="17"/>
              </w:rPr>
              <w:t>1. Executive orientation</w:t>
            </w:r>
          </w:p>
        </w:tc>
        <w:tc>
          <w:tcPr>
            <w:tcW w:w="7056" w:type="dxa"/>
            <w:tcMar>
              <w:top w:w="100" w:type="dxa"/>
              <w:left w:w="120" w:type="dxa"/>
              <w:bottom w:w="100" w:type="dxa"/>
              <w:right w:w="120" w:type="dxa"/>
            </w:tcMar>
            <w:vAlign w:val="center"/>
          </w:tcPr>
          <w:p w14:paraId="4A7E48B9" w14:textId="77777777" w:rsidR="007E3836" w:rsidRDefault="00000000">
            <w:pPr>
              <w:spacing w:after="40" w:line="245" w:lineRule="auto"/>
            </w:pPr>
            <w:r>
              <w:rPr>
                <w:sz w:val="17"/>
              </w:rPr>
              <w:t>A concise mental model and current ERAS snapshot</w:t>
            </w:r>
          </w:p>
        </w:tc>
      </w:tr>
      <w:tr w:rsidR="007E3836" w14:paraId="6DAAA1AC" w14:textId="77777777">
        <w:trPr>
          <w:cantSplit/>
          <w:jc w:val="center"/>
        </w:trPr>
        <w:tc>
          <w:tcPr>
            <w:tcW w:w="2736" w:type="dxa"/>
            <w:shd w:val="clear" w:color="auto" w:fill="F7F9FA"/>
            <w:tcMar>
              <w:top w:w="100" w:type="dxa"/>
              <w:left w:w="120" w:type="dxa"/>
              <w:bottom w:w="100" w:type="dxa"/>
              <w:right w:w="120" w:type="dxa"/>
            </w:tcMar>
            <w:vAlign w:val="center"/>
          </w:tcPr>
          <w:p w14:paraId="71848F27" w14:textId="77777777" w:rsidR="007E3836" w:rsidRDefault="00000000">
            <w:pPr>
              <w:spacing w:after="40" w:line="245" w:lineRule="auto"/>
            </w:pPr>
            <w:r>
              <w:rPr>
                <w:sz w:val="17"/>
              </w:rPr>
              <w:t>2. The five overlapping cycles</w:t>
            </w:r>
          </w:p>
        </w:tc>
        <w:tc>
          <w:tcPr>
            <w:tcW w:w="7056" w:type="dxa"/>
            <w:shd w:val="clear" w:color="auto" w:fill="F7F9FA"/>
            <w:tcMar>
              <w:top w:w="100" w:type="dxa"/>
              <w:left w:w="120" w:type="dxa"/>
              <w:bottom w:w="100" w:type="dxa"/>
              <w:right w:w="120" w:type="dxa"/>
            </w:tcMar>
            <w:vAlign w:val="center"/>
          </w:tcPr>
          <w:p w14:paraId="0574D20B" w14:textId="77777777" w:rsidR="007E3836" w:rsidRDefault="00000000">
            <w:pPr>
              <w:spacing w:after="40" w:line="245" w:lineRule="auto"/>
            </w:pPr>
            <w:r>
              <w:rPr>
                <w:sz w:val="17"/>
              </w:rPr>
              <w:t>The full commercial and policy arc</w:t>
            </w:r>
          </w:p>
        </w:tc>
      </w:tr>
      <w:tr w:rsidR="007E3836" w14:paraId="63D22FD6" w14:textId="77777777">
        <w:trPr>
          <w:cantSplit/>
          <w:jc w:val="center"/>
        </w:trPr>
        <w:tc>
          <w:tcPr>
            <w:tcW w:w="2736" w:type="dxa"/>
            <w:tcMar>
              <w:top w:w="100" w:type="dxa"/>
              <w:left w:w="120" w:type="dxa"/>
              <w:bottom w:w="100" w:type="dxa"/>
              <w:right w:w="120" w:type="dxa"/>
            </w:tcMar>
            <w:vAlign w:val="center"/>
          </w:tcPr>
          <w:p w14:paraId="46092DBC" w14:textId="77777777" w:rsidR="007E3836" w:rsidRDefault="00000000">
            <w:pPr>
              <w:spacing w:after="40" w:line="245" w:lineRule="auto"/>
            </w:pPr>
            <w:r>
              <w:rPr>
                <w:sz w:val="17"/>
              </w:rPr>
              <w:t>3. ERAS in depth</w:t>
            </w:r>
          </w:p>
        </w:tc>
        <w:tc>
          <w:tcPr>
            <w:tcW w:w="7056" w:type="dxa"/>
            <w:tcMar>
              <w:top w:w="100" w:type="dxa"/>
              <w:left w:w="120" w:type="dxa"/>
              <w:bottom w:w="100" w:type="dxa"/>
              <w:right w:w="120" w:type="dxa"/>
            </w:tcMar>
            <w:vAlign w:val="center"/>
          </w:tcPr>
          <w:p w14:paraId="692C4EA6" w14:textId="77777777" w:rsidR="007E3836" w:rsidRDefault="00000000">
            <w:pPr>
              <w:spacing w:after="40" w:line="245" w:lineRule="auto"/>
            </w:pPr>
            <w:r>
              <w:rPr>
                <w:sz w:val="17"/>
              </w:rPr>
              <w:t>Eligibility, timing, sequence, and limits</w:t>
            </w:r>
          </w:p>
        </w:tc>
      </w:tr>
      <w:tr w:rsidR="007E3836" w14:paraId="637BFA17" w14:textId="77777777">
        <w:trPr>
          <w:cantSplit/>
          <w:jc w:val="center"/>
        </w:trPr>
        <w:tc>
          <w:tcPr>
            <w:tcW w:w="2736" w:type="dxa"/>
            <w:shd w:val="clear" w:color="auto" w:fill="F7F9FA"/>
            <w:tcMar>
              <w:top w:w="100" w:type="dxa"/>
              <w:left w:w="120" w:type="dxa"/>
              <w:bottom w:w="100" w:type="dxa"/>
              <w:right w:w="120" w:type="dxa"/>
            </w:tcMar>
            <w:vAlign w:val="center"/>
          </w:tcPr>
          <w:p w14:paraId="11821669" w14:textId="77777777" w:rsidR="007E3836" w:rsidRDefault="00000000">
            <w:pPr>
              <w:spacing w:after="40" w:line="245" w:lineRule="auto"/>
            </w:pPr>
            <w:r>
              <w:rPr>
                <w:sz w:val="17"/>
              </w:rPr>
              <w:t>4. ERAS cycle history</w:t>
            </w:r>
          </w:p>
        </w:tc>
        <w:tc>
          <w:tcPr>
            <w:tcW w:w="7056" w:type="dxa"/>
            <w:shd w:val="clear" w:color="auto" w:fill="F7F9FA"/>
            <w:tcMar>
              <w:top w:w="100" w:type="dxa"/>
              <w:left w:w="120" w:type="dxa"/>
              <w:bottom w:w="100" w:type="dxa"/>
              <w:right w:w="120" w:type="dxa"/>
            </w:tcMar>
            <w:vAlign w:val="center"/>
          </w:tcPr>
          <w:p w14:paraId="46A282AD" w14:textId="77777777" w:rsidR="007E3836" w:rsidRDefault="00000000">
            <w:pPr>
              <w:spacing w:after="40" w:line="245" w:lineRule="auto"/>
            </w:pPr>
            <w:r>
              <w:rPr>
                <w:sz w:val="17"/>
              </w:rPr>
              <w:t>How the portfolio has evolved across cycles</w:t>
            </w:r>
          </w:p>
        </w:tc>
      </w:tr>
      <w:tr w:rsidR="007E3836" w14:paraId="56F72D31" w14:textId="77777777">
        <w:trPr>
          <w:cantSplit/>
          <w:jc w:val="center"/>
        </w:trPr>
        <w:tc>
          <w:tcPr>
            <w:tcW w:w="2736" w:type="dxa"/>
            <w:tcMar>
              <w:top w:w="100" w:type="dxa"/>
              <w:left w:w="120" w:type="dxa"/>
              <w:bottom w:w="100" w:type="dxa"/>
              <w:right w:w="120" w:type="dxa"/>
            </w:tcMar>
            <w:vAlign w:val="center"/>
          </w:tcPr>
          <w:p w14:paraId="26363CFE" w14:textId="77777777" w:rsidR="007E3836" w:rsidRDefault="00000000">
            <w:pPr>
              <w:spacing w:after="40" w:line="245" w:lineRule="auto"/>
            </w:pPr>
            <w:r>
              <w:rPr>
                <w:sz w:val="17"/>
              </w:rPr>
              <w:t>5. Project economics</w:t>
            </w:r>
          </w:p>
        </w:tc>
        <w:tc>
          <w:tcPr>
            <w:tcW w:w="7056" w:type="dxa"/>
            <w:tcMar>
              <w:top w:w="100" w:type="dxa"/>
              <w:left w:w="120" w:type="dxa"/>
              <w:bottom w:w="100" w:type="dxa"/>
              <w:right w:w="120" w:type="dxa"/>
            </w:tcMar>
            <w:vAlign w:val="center"/>
          </w:tcPr>
          <w:p w14:paraId="09CEA0B0" w14:textId="77777777" w:rsidR="007E3836" w:rsidRDefault="00000000">
            <w:pPr>
              <w:spacing w:after="40" w:line="245" w:lineRule="auto"/>
            </w:pPr>
            <w:r>
              <w:rPr>
                <w:sz w:val="17"/>
              </w:rPr>
              <w:t>How technology, revenue, risk, and contracts interact</w:t>
            </w:r>
          </w:p>
        </w:tc>
      </w:tr>
      <w:tr w:rsidR="007E3836" w14:paraId="6FCC0BD7" w14:textId="77777777">
        <w:trPr>
          <w:cantSplit/>
          <w:jc w:val="center"/>
        </w:trPr>
        <w:tc>
          <w:tcPr>
            <w:tcW w:w="2736" w:type="dxa"/>
            <w:shd w:val="clear" w:color="auto" w:fill="F7F9FA"/>
            <w:tcMar>
              <w:top w:w="100" w:type="dxa"/>
              <w:left w:w="120" w:type="dxa"/>
              <w:bottom w:w="100" w:type="dxa"/>
              <w:right w:w="120" w:type="dxa"/>
            </w:tcMar>
            <w:vAlign w:val="center"/>
          </w:tcPr>
          <w:p w14:paraId="638DA5E9" w14:textId="77777777" w:rsidR="007E3836" w:rsidRDefault="00000000">
            <w:pPr>
              <w:spacing w:after="40" w:line="245" w:lineRule="auto"/>
            </w:pPr>
            <w:r>
              <w:rPr>
                <w:sz w:val="17"/>
              </w:rPr>
              <w:t>6. Illinois and Ameren Illinois lens</w:t>
            </w:r>
          </w:p>
        </w:tc>
        <w:tc>
          <w:tcPr>
            <w:tcW w:w="7056" w:type="dxa"/>
            <w:shd w:val="clear" w:color="auto" w:fill="F7F9FA"/>
            <w:tcMar>
              <w:top w:w="100" w:type="dxa"/>
              <w:left w:w="120" w:type="dxa"/>
              <w:bottom w:w="100" w:type="dxa"/>
              <w:right w:w="120" w:type="dxa"/>
            </w:tcMar>
            <w:vAlign w:val="center"/>
          </w:tcPr>
          <w:p w14:paraId="4C22D82D" w14:textId="77777777" w:rsidR="007E3836" w:rsidRDefault="00000000">
            <w:pPr>
              <w:spacing w:after="40" w:line="245" w:lineRule="auto"/>
            </w:pPr>
            <w:r>
              <w:rPr>
                <w:sz w:val="17"/>
              </w:rPr>
              <w:t>What restructuring and utility roles change</w:t>
            </w:r>
          </w:p>
        </w:tc>
      </w:tr>
      <w:tr w:rsidR="007E3836" w14:paraId="4A14E0C7" w14:textId="77777777">
        <w:trPr>
          <w:cantSplit/>
          <w:jc w:val="center"/>
        </w:trPr>
        <w:tc>
          <w:tcPr>
            <w:tcW w:w="2736" w:type="dxa"/>
            <w:tcMar>
              <w:top w:w="100" w:type="dxa"/>
              <w:left w:w="120" w:type="dxa"/>
              <w:bottom w:w="100" w:type="dxa"/>
              <w:right w:w="120" w:type="dxa"/>
            </w:tcMar>
            <w:vAlign w:val="center"/>
          </w:tcPr>
          <w:p w14:paraId="01EF1A9D" w14:textId="77777777" w:rsidR="007E3836" w:rsidRDefault="00000000">
            <w:pPr>
              <w:spacing w:after="40" w:line="245" w:lineRule="auto"/>
            </w:pPr>
            <w:r>
              <w:rPr>
                <w:sz w:val="17"/>
              </w:rPr>
              <w:t>7. Government relations playbook</w:t>
            </w:r>
          </w:p>
        </w:tc>
        <w:tc>
          <w:tcPr>
            <w:tcW w:w="7056" w:type="dxa"/>
            <w:tcMar>
              <w:top w:w="100" w:type="dxa"/>
              <w:left w:w="120" w:type="dxa"/>
              <w:bottom w:w="100" w:type="dxa"/>
              <w:right w:w="120" w:type="dxa"/>
            </w:tcMar>
            <w:vAlign w:val="center"/>
          </w:tcPr>
          <w:p w14:paraId="4CDCB4E7" w14:textId="77777777" w:rsidR="007E3836" w:rsidRDefault="00000000">
            <w:pPr>
              <w:spacing w:after="40" w:line="245" w:lineRule="auto"/>
            </w:pPr>
            <w:r>
              <w:rPr>
                <w:sz w:val="17"/>
              </w:rPr>
              <w:t>Engage, frame, negotiate, and influence credibly</w:t>
            </w:r>
          </w:p>
        </w:tc>
      </w:tr>
      <w:tr w:rsidR="007E3836" w14:paraId="68951068" w14:textId="77777777">
        <w:trPr>
          <w:cantSplit/>
          <w:jc w:val="center"/>
        </w:trPr>
        <w:tc>
          <w:tcPr>
            <w:tcW w:w="2736" w:type="dxa"/>
            <w:shd w:val="clear" w:color="auto" w:fill="F7F9FA"/>
            <w:tcMar>
              <w:top w:w="100" w:type="dxa"/>
              <w:left w:w="120" w:type="dxa"/>
              <w:bottom w:w="100" w:type="dxa"/>
              <w:right w:w="120" w:type="dxa"/>
            </w:tcMar>
            <w:vAlign w:val="center"/>
          </w:tcPr>
          <w:p w14:paraId="1E00217D" w14:textId="77777777" w:rsidR="007E3836" w:rsidRDefault="00000000">
            <w:pPr>
              <w:spacing w:after="40" w:line="245" w:lineRule="auto"/>
            </w:pPr>
            <w:r>
              <w:rPr>
                <w:sz w:val="17"/>
              </w:rPr>
              <w:t>8. Tools</w:t>
            </w:r>
          </w:p>
        </w:tc>
        <w:tc>
          <w:tcPr>
            <w:tcW w:w="7056" w:type="dxa"/>
            <w:shd w:val="clear" w:color="auto" w:fill="F7F9FA"/>
            <w:tcMar>
              <w:top w:w="100" w:type="dxa"/>
              <w:left w:w="120" w:type="dxa"/>
              <w:bottom w:w="100" w:type="dxa"/>
              <w:right w:w="120" w:type="dxa"/>
            </w:tcMar>
            <w:vAlign w:val="center"/>
          </w:tcPr>
          <w:p w14:paraId="0611812B" w14:textId="77777777" w:rsidR="007E3836" w:rsidRDefault="00000000">
            <w:pPr>
              <w:spacing w:after="40" w:line="245" w:lineRule="auto"/>
            </w:pPr>
            <w:r>
              <w:rPr>
                <w:sz w:val="17"/>
              </w:rPr>
              <w:t>Questions, red flags, glossary, and a 30-day learning plan</w:t>
            </w:r>
          </w:p>
        </w:tc>
      </w:tr>
    </w:tbl>
    <w:p w14:paraId="39A3520E" w14:textId="77777777" w:rsidR="007E3836" w:rsidRDefault="007E3836">
      <w:pPr>
        <w:spacing w:after="20"/>
      </w:pPr>
    </w:p>
    <w:p w14:paraId="498FA89E" w14:textId="77777777" w:rsidR="007E3836" w:rsidRDefault="00000000">
      <w:r>
        <w:br w:type="page"/>
      </w:r>
    </w:p>
    <w:p w14:paraId="2744A4D2" w14:textId="77777777" w:rsidR="007E3836" w:rsidRDefault="00000000">
      <w:pPr>
        <w:pStyle w:val="Heading1"/>
      </w:pPr>
      <w:r>
        <w:lastRenderedPageBreak/>
        <w:t>1. Executive Orientation</w:t>
      </w:r>
    </w:p>
    <w:p w14:paraId="0F73C397" w14:textId="77777777" w:rsidR="007E3836" w:rsidRDefault="00000000">
      <w:pPr>
        <w:pStyle w:val="Heading2"/>
      </w:pPr>
      <w:r>
        <w:t>What ERAS Is</w:t>
      </w:r>
    </w:p>
    <w:p w14:paraId="12940830" w14:textId="77777777" w:rsidR="007E3836" w:rsidRDefault="00000000" w:rsidP="00BC4D40">
      <w:r>
        <w:t>The Expedited Resource Addition Study</w:t>
      </w:r>
      <w:r w:rsidR="00957814" w:rsidRPr="00957814">
        <w:t>, or ERAS,</w:t>
      </w:r>
      <w:r>
        <w:t xml:space="preserve"> is MISO’s temporary </w:t>
      </w:r>
      <w:r w:rsidR="00957814" w:rsidRPr="00957814">
        <w:t xml:space="preserve">expedited </w:t>
      </w:r>
      <w:r>
        <w:t xml:space="preserve">pathway for reliability-critical generation and storage. </w:t>
      </w:r>
      <w:r w:rsidR="00957814" w:rsidRPr="00957814">
        <w:t xml:space="preserve">In practical terms, it is meant to move qualifying projects more quickly through the interconnection study and agreement process while broader queue reforms continue. </w:t>
      </w:r>
      <w:r>
        <w:t xml:space="preserve">MISO describes </w:t>
      </w:r>
      <w:r w:rsidR="00957814" w:rsidRPr="00957814">
        <w:t xml:space="preserve">the process </w:t>
      </w:r>
      <w:r>
        <w:t xml:space="preserve">as a </w:t>
      </w:r>
      <w:r w:rsidR="00957814" w:rsidRPr="00957814">
        <w:t>path</w:t>
      </w:r>
      <w:r>
        <w:t xml:space="preserve"> to issue a Generator Interconnection Agreement in three months, subject to tariff requirements, program limits, and cycle timing. [1]</w:t>
      </w:r>
    </w:p>
    <w:p w14:paraId="3D78B7F5" w14:textId="77777777" w:rsidR="007E3836" w:rsidRDefault="00055E2E" w:rsidP="00055E2E">
      <w:pPr>
        <w:pStyle w:val="Heading2"/>
      </w:pPr>
      <w:r w:rsidRPr="00055E2E">
        <w:t xml:space="preserve">Use ERAS as a Timing Tool, </w:t>
      </w:r>
      <w:proofErr w:type="gramStart"/>
      <w:r w:rsidRPr="00055E2E">
        <w:t>Not</w:t>
      </w:r>
      <w:proofErr w:type="gramEnd"/>
      <w:r w:rsidRPr="00055E2E">
        <w:t xml:space="preserve"> a Build Guarantee</w:t>
      </w:r>
    </w:p>
    <w:p w14:paraId="5F1E06F6" w14:textId="77777777" w:rsidR="007E3836" w:rsidRDefault="00F567DB" w:rsidP="00F567DB">
      <w:pPr>
        <w:pStyle w:val="ListBullet"/>
      </w:pPr>
      <w:r w:rsidRPr="00F567DB">
        <w:t>ERAS is not a state siting permit, air permit, construction authorization, fuel-supply agreement, financing commitment, or customer-rate approval.</w:t>
      </w:r>
    </w:p>
    <w:p w14:paraId="4E14F4C5" w14:textId="77777777" w:rsidR="007E3836" w:rsidRDefault="00076B49" w:rsidP="00076B49">
      <w:pPr>
        <w:pStyle w:val="ListBullet"/>
      </w:pPr>
      <w:r w:rsidRPr="00076B49">
        <w:t>An executed interconnection agreement is an important milestone, but it is not proof that the project will reach commercial operation on time.</w:t>
      </w:r>
    </w:p>
    <w:p w14:paraId="33EFC1D6" w14:textId="77777777" w:rsidR="007E3836" w:rsidRDefault="00000000">
      <w:pPr>
        <w:pStyle w:val="ListBullet"/>
      </w:pPr>
      <w:r>
        <w:t>It does not make every MW equally dependable. Resource accreditation and seasonal performance still matter.</w:t>
      </w:r>
    </w:p>
    <w:p w14:paraId="0FEC0A02" w14:textId="77777777" w:rsidR="007E3836" w:rsidRDefault="00000000">
      <w:pPr>
        <w:pStyle w:val="ListBullet"/>
      </w:pPr>
      <w:r>
        <w:t>It does not eliminate needed network upgrades or transfer limits. It accelerates study and agreement work for qualifying projects.</w:t>
      </w:r>
    </w:p>
    <w:p w14:paraId="6D48AB57" w14:textId="77777777" w:rsidR="007E3836" w:rsidRDefault="00000000">
      <w:pPr>
        <w:pStyle w:val="Heading2"/>
      </w:pPr>
      <w:r>
        <w:t>Current Fifth-Cycle Snapshot</w:t>
      </w:r>
    </w:p>
    <w:tbl>
      <w:tblPr>
        <w:tblStyle w:val="TableGrid"/>
        <w:tblW w:w="0" w:type="auto"/>
        <w:jc w:val="center"/>
        <w:tblLayout w:type="fixed"/>
        <w:tblLook w:val="04A0" w:firstRow="1" w:lastRow="0" w:firstColumn="1" w:lastColumn="0" w:noHBand="0" w:noVBand="1"/>
      </w:tblPr>
      <w:tblGrid>
        <w:gridCol w:w="2376"/>
        <w:gridCol w:w="7416"/>
      </w:tblGrid>
      <w:tr w:rsidR="007E3836" w14:paraId="6A8B3F5A" w14:textId="77777777">
        <w:trPr>
          <w:tblHeader/>
          <w:jc w:val="center"/>
        </w:trPr>
        <w:tc>
          <w:tcPr>
            <w:tcW w:w="2376" w:type="dxa"/>
            <w:shd w:val="clear" w:color="auto" w:fill="17365D"/>
            <w:tcMar>
              <w:top w:w="100" w:type="dxa"/>
              <w:left w:w="120" w:type="dxa"/>
              <w:bottom w:w="100" w:type="dxa"/>
              <w:right w:w="120" w:type="dxa"/>
            </w:tcMar>
            <w:vAlign w:val="center"/>
          </w:tcPr>
          <w:p w14:paraId="17E226CA" w14:textId="77777777" w:rsidR="007E3836" w:rsidRDefault="00000000">
            <w:pPr>
              <w:spacing w:after="40" w:line="245" w:lineRule="auto"/>
            </w:pPr>
            <w:r>
              <w:rPr>
                <w:b/>
                <w:color w:val="FFFFFF"/>
                <w:sz w:val="17"/>
              </w:rPr>
              <w:t>Portfolio element</w:t>
            </w:r>
          </w:p>
        </w:tc>
        <w:tc>
          <w:tcPr>
            <w:tcW w:w="7416" w:type="dxa"/>
            <w:shd w:val="clear" w:color="auto" w:fill="17365D"/>
            <w:tcMar>
              <w:top w:w="100" w:type="dxa"/>
              <w:left w:w="120" w:type="dxa"/>
              <w:bottom w:w="100" w:type="dxa"/>
              <w:right w:w="120" w:type="dxa"/>
            </w:tcMar>
            <w:vAlign w:val="center"/>
          </w:tcPr>
          <w:p w14:paraId="59F6C25D" w14:textId="77777777" w:rsidR="007E3836" w:rsidRDefault="00000000">
            <w:pPr>
              <w:spacing w:after="40" w:line="245" w:lineRule="auto"/>
            </w:pPr>
            <w:r>
              <w:rPr>
                <w:b/>
                <w:color w:val="FFFFFF"/>
                <w:sz w:val="17"/>
              </w:rPr>
              <w:t>Fifth-cycle position</w:t>
            </w:r>
          </w:p>
        </w:tc>
      </w:tr>
      <w:tr w:rsidR="007E3836" w14:paraId="389CB22B" w14:textId="77777777">
        <w:trPr>
          <w:cantSplit/>
          <w:jc w:val="center"/>
        </w:trPr>
        <w:tc>
          <w:tcPr>
            <w:tcW w:w="2376" w:type="dxa"/>
            <w:tcMar>
              <w:top w:w="100" w:type="dxa"/>
              <w:left w:w="120" w:type="dxa"/>
              <w:bottom w:w="100" w:type="dxa"/>
              <w:right w:w="120" w:type="dxa"/>
            </w:tcMar>
            <w:vAlign w:val="center"/>
          </w:tcPr>
          <w:p w14:paraId="7B0A4A2A" w14:textId="77777777" w:rsidR="007E3836" w:rsidRDefault="00000000">
            <w:pPr>
              <w:spacing w:after="40" w:line="245" w:lineRule="auto"/>
            </w:pPr>
            <w:r>
              <w:rPr>
                <w:sz w:val="17"/>
              </w:rPr>
              <w:t>Scale</w:t>
            </w:r>
          </w:p>
        </w:tc>
        <w:tc>
          <w:tcPr>
            <w:tcW w:w="7416" w:type="dxa"/>
            <w:tcMar>
              <w:top w:w="100" w:type="dxa"/>
              <w:left w:w="120" w:type="dxa"/>
              <w:bottom w:w="100" w:type="dxa"/>
              <w:right w:w="120" w:type="dxa"/>
            </w:tcMar>
            <w:vAlign w:val="center"/>
          </w:tcPr>
          <w:p w14:paraId="54CC31BB" w14:textId="77777777" w:rsidR="007E3836" w:rsidRDefault="00000000">
            <w:pPr>
              <w:spacing w:after="40" w:line="245" w:lineRule="auto"/>
            </w:pPr>
            <w:r>
              <w:rPr>
                <w:sz w:val="17"/>
              </w:rPr>
              <w:t>15 proposed resources totaling approximately 7.3 GW</w:t>
            </w:r>
          </w:p>
        </w:tc>
      </w:tr>
      <w:tr w:rsidR="007E3836" w14:paraId="74DFDA23" w14:textId="77777777">
        <w:trPr>
          <w:cantSplit/>
          <w:jc w:val="center"/>
        </w:trPr>
        <w:tc>
          <w:tcPr>
            <w:tcW w:w="2376" w:type="dxa"/>
            <w:shd w:val="clear" w:color="auto" w:fill="F7F9FA"/>
            <w:tcMar>
              <w:top w:w="100" w:type="dxa"/>
              <w:left w:w="120" w:type="dxa"/>
              <w:bottom w:w="100" w:type="dxa"/>
              <w:right w:w="120" w:type="dxa"/>
            </w:tcMar>
            <w:vAlign w:val="center"/>
          </w:tcPr>
          <w:p w14:paraId="6E6BF04A" w14:textId="77777777" w:rsidR="007E3836" w:rsidRDefault="00000000">
            <w:pPr>
              <w:spacing w:after="40" w:line="245" w:lineRule="auto"/>
            </w:pPr>
            <w:r>
              <w:rPr>
                <w:sz w:val="17"/>
              </w:rPr>
              <w:t>Geography</w:t>
            </w:r>
          </w:p>
        </w:tc>
        <w:tc>
          <w:tcPr>
            <w:tcW w:w="7416" w:type="dxa"/>
            <w:shd w:val="clear" w:color="auto" w:fill="F7F9FA"/>
            <w:tcMar>
              <w:top w:w="100" w:type="dxa"/>
              <w:left w:w="120" w:type="dxa"/>
              <w:bottom w:w="100" w:type="dxa"/>
              <w:right w:w="120" w:type="dxa"/>
            </w:tcMar>
            <w:vAlign w:val="center"/>
          </w:tcPr>
          <w:p w14:paraId="3DEE2A77" w14:textId="77777777" w:rsidR="007E3836" w:rsidRDefault="00000000">
            <w:pPr>
              <w:spacing w:after="40" w:line="245" w:lineRule="auto"/>
            </w:pPr>
            <w:r>
              <w:rPr>
                <w:sz w:val="17"/>
              </w:rPr>
              <w:t>MISO North, Central, and South</w:t>
            </w:r>
          </w:p>
        </w:tc>
      </w:tr>
      <w:tr w:rsidR="007E3836" w14:paraId="2B8122E8" w14:textId="77777777">
        <w:trPr>
          <w:cantSplit/>
          <w:jc w:val="center"/>
        </w:trPr>
        <w:tc>
          <w:tcPr>
            <w:tcW w:w="2376" w:type="dxa"/>
            <w:tcMar>
              <w:top w:w="100" w:type="dxa"/>
              <w:left w:w="120" w:type="dxa"/>
              <w:bottom w:w="100" w:type="dxa"/>
              <w:right w:w="120" w:type="dxa"/>
            </w:tcMar>
            <w:vAlign w:val="center"/>
          </w:tcPr>
          <w:p w14:paraId="4AC078C9" w14:textId="77777777" w:rsidR="007E3836" w:rsidRDefault="00000000">
            <w:pPr>
              <w:spacing w:after="40" w:line="245" w:lineRule="auto"/>
            </w:pPr>
            <w:r>
              <w:rPr>
                <w:sz w:val="17"/>
              </w:rPr>
              <w:t>Expected timing</w:t>
            </w:r>
          </w:p>
        </w:tc>
        <w:tc>
          <w:tcPr>
            <w:tcW w:w="7416" w:type="dxa"/>
            <w:tcMar>
              <w:top w:w="100" w:type="dxa"/>
              <w:left w:w="120" w:type="dxa"/>
              <w:bottom w:w="100" w:type="dxa"/>
              <w:right w:w="120" w:type="dxa"/>
            </w:tcMar>
            <w:vAlign w:val="center"/>
          </w:tcPr>
          <w:p w14:paraId="54E68B76" w14:textId="77777777" w:rsidR="007E3836" w:rsidRDefault="00000000">
            <w:pPr>
              <w:spacing w:after="40" w:line="245" w:lineRule="auto"/>
            </w:pPr>
            <w:r>
              <w:rPr>
                <w:sz w:val="17"/>
              </w:rPr>
              <w:t>Resources expected in service by 2029</w:t>
            </w:r>
          </w:p>
        </w:tc>
      </w:tr>
      <w:tr w:rsidR="007E3836" w14:paraId="011C83BE" w14:textId="77777777">
        <w:trPr>
          <w:cantSplit/>
          <w:jc w:val="center"/>
        </w:trPr>
        <w:tc>
          <w:tcPr>
            <w:tcW w:w="2376" w:type="dxa"/>
            <w:shd w:val="clear" w:color="auto" w:fill="F7F9FA"/>
            <w:tcMar>
              <w:top w:w="100" w:type="dxa"/>
              <w:left w:w="120" w:type="dxa"/>
              <w:bottom w:w="100" w:type="dxa"/>
              <w:right w:w="120" w:type="dxa"/>
            </w:tcMar>
            <w:vAlign w:val="center"/>
          </w:tcPr>
          <w:p w14:paraId="1424ED7C" w14:textId="77777777" w:rsidR="007E3836" w:rsidRDefault="00000000">
            <w:pPr>
              <w:spacing w:after="40" w:line="245" w:lineRule="auto"/>
            </w:pPr>
            <w:r>
              <w:rPr>
                <w:sz w:val="17"/>
              </w:rPr>
              <w:t>Natural gas</w:t>
            </w:r>
          </w:p>
        </w:tc>
        <w:tc>
          <w:tcPr>
            <w:tcW w:w="7416" w:type="dxa"/>
            <w:shd w:val="clear" w:color="auto" w:fill="F7F9FA"/>
            <w:tcMar>
              <w:top w:w="100" w:type="dxa"/>
              <w:left w:w="120" w:type="dxa"/>
              <w:bottom w:w="100" w:type="dxa"/>
              <w:right w:w="120" w:type="dxa"/>
            </w:tcMar>
            <w:vAlign w:val="center"/>
          </w:tcPr>
          <w:p w14:paraId="67B7614C" w14:textId="77777777" w:rsidR="007E3836" w:rsidRDefault="00000000">
            <w:pPr>
              <w:spacing w:after="40" w:line="245" w:lineRule="auto"/>
            </w:pPr>
            <w:r>
              <w:rPr>
                <w:sz w:val="17"/>
              </w:rPr>
              <w:t>Six projects totaling about 3.69 GW</w:t>
            </w:r>
          </w:p>
        </w:tc>
      </w:tr>
      <w:tr w:rsidR="007E3836" w14:paraId="05255C75" w14:textId="77777777">
        <w:trPr>
          <w:cantSplit/>
          <w:jc w:val="center"/>
        </w:trPr>
        <w:tc>
          <w:tcPr>
            <w:tcW w:w="2376" w:type="dxa"/>
            <w:tcMar>
              <w:top w:w="100" w:type="dxa"/>
              <w:left w:w="120" w:type="dxa"/>
              <w:bottom w:w="100" w:type="dxa"/>
              <w:right w:w="120" w:type="dxa"/>
            </w:tcMar>
            <w:vAlign w:val="center"/>
          </w:tcPr>
          <w:p w14:paraId="3DF6CF6A" w14:textId="77777777" w:rsidR="007E3836" w:rsidRDefault="00000000">
            <w:pPr>
              <w:spacing w:after="40" w:line="245" w:lineRule="auto"/>
            </w:pPr>
            <w:r>
              <w:rPr>
                <w:sz w:val="17"/>
              </w:rPr>
              <w:t>Battery storage</w:t>
            </w:r>
          </w:p>
        </w:tc>
        <w:tc>
          <w:tcPr>
            <w:tcW w:w="7416" w:type="dxa"/>
            <w:tcMar>
              <w:top w:w="100" w:type="dxa"/>
              <w:left w:w="120" w:type="dxa"/>
              <w:bottom w:w="100" w:type="dxa"/>
              <w:right w:w="120" w:type="dxa"/>
            </w:tcMar>
            <w:vAlign w:val="center"/>
          </w:tcPr>
          <w:p w14:paraId="407FE29C" w14:textId="77777777" w:rsidR="007E3836" w:rsidRDefault="00000000">
            <w:pPr>
              <w:spacing w:after="40" w:line="245" w:lineRule="auto"/>
            </w:pPr>
            <w:r>
              <w:rPr>
                <w:sz w:val="17"/>
              </w:rPr>
              <w:t>Seven resources totaling about 2.91 GW, including 400 MW paired with DOUBLEC</w:t>
            </w:r>
          </w:p>
        </w:tc>
      </w:tr>
      <w:tr w:rsidR="007E3836" w14:paraId="43806FA7" w14:textId="77777777">
        <w:trPr>
          <w:cantSplit/>
          <w:jc w:val="center"/>
        </w:trPr>
        <w:tc>
          <w:tcPr>
            <w:tcW w:w="2376" w:type="dxa"/>
            <w:shd w:val="clear" w:color="auto" w:fill="F7F9FA"/>
            <w:tcMar>
              <w:top w:w="100" w:type="dxa"/>
              <w:left w:w="120" w:type="dxa"/>
              <w:bottom w:w="100" w:type="dxa"/>
              <w:right w:w="120" w:type="dxa"/>
            </w:tcMar>
            <w:vAlign w:val="center"/>
          </w:tcPr>
          <w:p w14:paraId="0558A98F" w14:textId="77777777" w:rsidR="007E3836" w:rsidRDefault="00000000">
            <w:pPr>
              <w:spacing w:after="40" w:line="245" w:lineRule="auto"/>
            </w:pPr>
            <w:r>
              <w:rPr>
                <w:sz w:val="17"/>
              </w:rPr>
              <w:t>Wind and solar</w:t>
            </w:r>
          </w:p>
        </w:tc>
        <w:tc>
          <w:tcPr>
            <w:tcW w:w="7416" w:type="dxa"/>
            <w:shd w:val="clear" w:color="auto" w:fill="F7F9FA"/>
            <w:tcMar>
              <w:top w:w="100" w:type="dxa"/>
              <w:left w:w="120" w:type="dxa"/>
              <w:bottom w:w="100" w:type="dxa"/>
              <w:right w:w="120" w:type="dxa"/>
            </w:tcMar>
            <w:vAlign w:val="center"/>
          </w:tcPr>
          <w:p w14:paraId="356D7724" w14:textId="77777777" w:rsidR="007E3836" w:rsidRDefault="00000000">
            <w:pPr>
              <w:spacing w:after="40" w:line="245" w:lineRule="auto"/>
            </w:pPr>
            <w:r>
              <w:rPr>
                <w:sz w:val="17"/>
              </w:rPr>
              <w:t>300 MW wind and 400 MW solar</w:t>
            </w:r>
          </w:p>
        </w:tc>
      </w:tr>
      <w:tr w:rsidR="007E3836" w14:paraId="43C94969" w14:textId="77777777">
        <w:trPr>
          <w:cantSplit/>
          <w:jc w:val="center"/>
        </w:trPr>
        <w:tc>
          <w:tcPr>
            <w:tcW w:w="2376" w:type="dxa"/>
            <w:tcMar>
              <w:top w:w="100" w:type="dxa"/>
              <w:left w:w="120" w:type="dxa"/>
              <w:bottom w:w="100" w:type="dxa"/>
              <w:right w:w="120" w:type="dxa"/>
            </w:tcMar>
            <w:vAlign w:val="center"/>
          </w:tcPr>
          <w:p w14:paraId="31482FC3" w14:textId="77777777" w:rsidR="007E3836" w:rsidRDefault="00000000">
            <w:pPr>
              <w:spacing w:after="40" w:line="245" w:lineRule="auto"/>
            </w:pPr>
            <w:r>
              <w:rPr>
                <w:sz w:val="17"/>
              </w:rPr>
              <w:t>Program-to-date</w:t>
            </w:r>
          </w:p>
        </w:tc>
        <w:tc>
          <w:tcPr>
            <w:tcW w:w="7416" w:type="dxa"/>
            <w:tcMar>
              <w:top w:w="100" w:type="dxa"/>
              <w:left w:w="120" w:type="dxa"/>
              <w:bottom w:w="100" w:type="dxa"/>
              <w:right w:w="120" w:type="dxa"/>
            </w:tcMar>
            <w:vAlign w:val="center"/>
          </w:tcPr>
          <w:p w14:paraId="395D1A5E" w14:textId="77777777" w:rsidR="007E3836" w:rsidRDefault="00000000">
            <w:pPr>
              <w:spacing w:after="40" w:line="245" w:lineRule="auto"/>
            </w:pPr>
            <w:r>
              <w:rPr>
                <w:sz w:val="17"/>
              </w:rPr>
              <w:t>58 projects representing nearly 29 GW studied or scheduled; 38 completed GIAs</w:t>
            </w:r>
          </w:p>
        </w:tc>
      </w:tr>
    </w:tbl>
    <w:p w14:paraId="1C122301" w14:textId="77777777" w:rsidR="007E3836" w:rsidRDefault="007E3836">
      <w:pPr>
        <w:spacing w:after="20"/>
      </w:pPr>
    </w:p>
    <w:p w14:paraId="7ED59961" w14:textId="77777777" w:rsidR="007E3836" w:rsidRDefault="00000000">
      <w:pPr>
        <w:pStyle w:val="Source"/>
      </w:pPr>
      <w:r>
        <w:t>Source: MISO’s September 8, 2026 announcement. Totals by resource type are arithmetic from the listed project capacities. [2]</w:t>
      </w:r>
    </w:p>
    <w:tbl>
      <w:tblPr>
        <w:tblW w:w="0" w:type="auto"/>
        <w:jc w:val="center"/>
        <w:tblLayout w:type="fixed"/>
        <w:tblLook w:val="04A0" w:firstRow="1" w:lastRow="0" w:firstColumn="1" w:lastColumn="0" w:noHBand="0" w:noVBand="1"/>
      </w:tblPr>
      <w:tblGrid>
        <w:gridCol w:w="9936"/>
      </w:tblGrid>
      <w:tr w:rsidR="007E3836" w14:paraId="76362837" w14:textId="77777777">
        <w:trPr>
          <w:jc w:val="center"/>
        </w:trPr>
        <w:tc>
          <w:tcPr>
            <w:tcW w:w="9936" w:type="dxa"/>
            <w:shd w:val="clear" w:color="auto" w:fill="EAF2F8"/>
            <w:tcMar>
              <w:top w:w="150" w:type="dxa"/>
              <w:left w:w="180" w:type="dxa"/>
              <w:bottom w:w="150" w:type="dxa"/>
              <w:right w:w="180" w:type="dxa"/>
            </w:tcMar>
          </w:tcPr>
          <w:p w14:paraId="636A0B08" w14:textId="77777777" w:rsidR="007E3836" w:rsidRDefault="00000000">
            <w:pPr>
              <w:spacing w:after="40" w:line="245" w:lineRule="auto"/>
            </w:pPr>
            <w:r>
              <w:rPr>
                <w:b/>
                <w:color w:val="17365D"/>
                <w:sz w:val="22"/>
              </w:rPr>
              <w:t>Business takeaway</w:t>
            </w:r>
            <w:r>
              <w:rPr>
                <w:b/>
                <w:color w:val="17365D"/>
                <w:sz w:val="22"/>
              </w:rPr>
              <w:br/>
            </w:r>
            <w:r>
              <w:rPr>
                <w:sz w:val="19"/>
              </w:rPr>
              <w:t>ERAS is a response to a timing mismatch. Load can materialize faster than generation, transmission, and ordinary interconnection studies. The expedited study can shorten one portion of the chain, but it cannot compress every commercial, regulatory, construction, and supply-chain dependency.</w:t>
            </w:r>
          </w:p>
        </w:tc>
      </w:tr>
    </w:tbl>
    <w:p w14:paraId="16B1BEEB" w14:textId="77777777" w:rsidR="007E3836" w:rsidRDefault="007E3836">
      <w:pPr>
        <w:spacing w:after="20"/>
      </w:pPr>
    </w:p>
    <w:p w14:paraId="3BF5F771" w14:textId="77777777" w:rsidR="007E3836" w:rsidRDefault="00000000">
      <w:pPr>
        <w:pStyle w:val="Heading2"/>
      </w:pPr>
      <w:r>
        <w:t>The Vocabulary That Prevents Bad Decisions</w:t>
      </w:r>
    </w:p>
    <w:tbl>
      <w:tblPr>
        <w:tblStyle w:val="TableGrid"/>
        <w:tblW w:w="0" w:type="auto"/>
        <w:jc w:val="center"/>
        <w:tblLayout w:type="fixed"/>
        <w:tblLook w:val="04A0" w:firstRow="1" w:lastRow="0" w:firstColumn="1" w:lastColumn="0" w:noHBand="0" w:noVBand="1"/>
      </w:tblPr>
      <w:tblGrid>
        <w:gridCol w:w="1800"/>
        <w:gridCol w:w="3744"/>
        <w:gridCol w:w="4248"/>
      </w:tblGrid>
      <w:tr w:rsidR="007E3836" w14:paraId="2EEF4755" w14:textId="77777777">
        <w:trPr>
          <w:tblHeader/>
          <w:jc w:val="center"/>
        </w:trPr>
        <w:tc>
          <w:tcPr>
            <w:tcW w:w="1800" w:type="dxa"/>
            <w:shd w:val="clear" w:color="auto" w:fill="17365D"/>
            <w:tcMar>
              <w:top w:w="100" w:type="dxa"/>
              <w:left w:w="120" w:type="dxa"/>
              <w:bottom w:w="100" w:type="dxa"/>
              <w:right w:w="120" w:type="dxa"/>
            </w:tcMar>
            <w:vAlign w:val="center"/>
          </w:tcPr>
          <w:p w14:paraId="66227B1F" w14:textId="77777777" w:rsidR="007E3836" w:rsidRDefault="00000000">
            <w:pPr>
              <w:spacing w:after="40" w:line="245" w:lineRule="auto"/>
            </w:pPr>
            <w:r>
              <w:rPr>
                <w:b/>
                <w:color w:val="FFFFFF"/>
                <w:sz w:val="17"/>
              </w:rPr>
              <w:t>Term</w:t>
            </w:r>
          </w:p>
        </w:tc>
        <w:tc>
          <w:tcPr>
            <w:tcW w:w="3744" w:type="dxa"/>
            <w:shd w:val="clear" w:color="auto" w:fill="17365D"/>
            <w:tcMar>
              <w:top w:w="100" w:type="dxa"/>
              <w:left w:w="120" w:type="dxa"/>
              <w:bottom w:w="100" w:type="dxa"/>
              <w:right w:w="120" w:type="dxa"/>
            </w:tcMar>
            <w:vAlign w:val="center"/>
          </w:tcPr>
          <w:p w14:paraId="53DA42A1" w14:textId="77777777" w:rsidR="007E3836" w:rsidRDefault="00000000">
            <w:pPr>
              <w:spacing w:after="40" w:line="245" w:lineRule="auto"/>
            </w:pPr>
            <w:r>
              <w:rPr>
                <w:b/>
                <w:color w:val="FFFFFF"/>
                <w:sz w:val="17"/>
              </w:rPr>
              <w:t>Practical meaning</w:t>
            </w:r>
          </w:p>
        </w:tc>
        <w:tc>
          <w:tcPr>
            <w:tcW w:w="4248" w:type="dxa"/>
            <w:shd w:val="clear" w:color="auto" w:fill="17365D"/>
            <w:tcMar>
              <w:top w:w="100" w:type="dxa"/>
              <w:left w:w="120" w:type="dxa"/>
              <w:bottom w:w="100" w:type="dxa"/>
              <w:right w:w="120" w:type="dxa"/>
            </w:tcMar>
            <w:vAlign w:val="center"/>
          </w:tcPr>
          <w:p w14:paraId="773B09AE" w14:textId="77777777" w:rsidR="007E3836" w:rsidRDefault="00000000">
            <w:pPr>
              <w:spacing w:after="40" w:line="245" w:lineRule="auto"/>
            </w:pPr>
            <w:r>
              <w:rPr>
                <w:b/>
                <w:color w:val="FFFFFF"/>
                <w:sz w:val="17"/>
              </w:rPr>
              <w:t>Why it matters</w:t>
            </w:r>
          </w:p>
        </w:tc>
      </w:tr>
      <w:tr w:rsidR="007E3836" w14:paraId="0C9AA350" w14:textId="77777777">
        <w:trPr>
          <w:cantSplit/>
          <w:jc w:val="center"/>
        </w:trPr>
        <w:tc>
          <w:tcPr>
            <w:tcW w:w="1800" w:type="dxa"/>
            <w:tcMar>
              <w:top w:w="100" w:type="dxa"/>
              <w:left w:w="120" w:type="dxa"/>
              <w:bottom w:w="100" w:type="dxa"/>
              <w:right w:w="120" w:type="dxa"/>
            </w:tcMar>
            <w:vAlign w:val="center"/>
          </w:tcPr>
          <w:p w14:paraId="2C9049BE" w14:textId="77777777" w:rsidR="007E3836" w:rsidRDefault="00000000">
            <w:pPr>
              <w:spacing w:after="40" w:line="245" w:lineRule="auto"/>
            </w:pPr>
            <w:r>
              <w:rPr>
                <w:sz w:val="17"/>
              </w:rPr>
              <w:t>Nameplate capacity</w:t>
            </w:r>
          </w:p>
        </w:tc>
        <w:tc>
          <w:tcPr>
            <w:tcW w:w="3744" w:type="dxa"/>
            <w:tcMar>
              <w:top w:w="100" w:type="dxa"/>
              <w:left w:w="120" w:type="dxa"/>
              <w:bottom w:w="100" w:type="dxa"/>
              <w:right w:w="120" w:type="dxa"/>
            </w:tcMar>
            <w:vAlign w:val="center"/>
          </w:tcPr>
          <w:p w14:paraId="3669CAE7" w14:textId="77777777" w:rsidR="007E3836" w:rsidRDefault="00000000">
            <w:pPr>
              <w:spacing w:after="40" w:line="245" w:lineRule="auto"/>
            </w:pPr>
            <w:r>
              <w:rPr>
                <w:sz w:val="17"/>
              </w:rPr>
              <w:t>The maximum rated output shown for a facility or resource.</w:t>
            </w:r>
          </w:p>
        </w:tc>
        <w:tc>
          <w:tcPr>
            <w:tcW w:w="4248" w:type="dxa"/>
            <w:tcMar>
              <w:top w:w="100" w:type="dxa"/>
              <w:left w:w="120" w:type="dxa"/>
              <w:bottom w:w="100" w:type="dxa"/>
              <w:right w:w="120" w:type="dxa"/>
            </w:tcMar>
            <w:vAlign w:val="center"/>
          </w:tcPr>
          <w:p w14:paraId="1399C155" w14:textId="77777777" w:rsidR="007E3836" w:rsidRDefault="00000000">
            <w:pPr>
              <w:spacing w:after="40" w:line="245" w:lineRule="auto"/>
            </w:pPr>
            <w:r>
              <w:rPr>
                <w:sz w:val="17"/>
              </w:rPr>
              <w:t>It is not the same as dependable seasonal capacity.</w:t>
            </w:r>
          </w:p>
        </w:tc>
      </w:tr>
      <w:tr w:rsidR="007E3836" w14:paraId="1057D21C" w14:textId="77777777">
        <w:trPr>
          <w:cantSplit/>
          <w:jc w:val="center"/>
        </w:trPr>
        <w:tc>
          <w:tcPr>
            <w:tcW w:w="1800" w:type="dxa"/>
            <w:shd w:val="clear" w:color="auto" w:fill="F7F9FA"/>
            <w:tcMar>
              <w:top w:w="100" w:type="dxa"/>
              <w:left w:w="120" w:type="dxa"/>
              <w:bottom w:w="100" w:type="dxa"/>
              <w:right w:w="120" w:type="dxa"/>
            </w:tcMar>
            <w:vAlign w:val="center"/>
          </w:tcPr>
          <w:p w14:paraId="2377E7D7" w14:textId="77777777" w:rsidR="007E3836" w:rsidRDefault="00000000">
            <w:pPr>
              <w:spacing w:after="40" w:line="245" w:lineRule="auto"/>
            </w:pPr>
            <w:r>
              <w:rPr>
                <w:sz w:val="17"/>
              </w:rPr>
              <w:lastRenderedPageBreak/>
              <w:t>Interconnection service</w:t>
            </w:r>
          </w:p>
        </w:tc>
        <w:tc>
          <w:tcPr>
            <w:tcW w:w="3744" w:type="dxa"/>
            <w:shd w:val="clear" w:color="auto" w:fill="F7F9FA"/>
            <w:tcMar>
              <w:top w:w="100" w:type="dxa"/>
              <w:left w:w="120" w:type="dxa"/>
              <w:bottom w:w="100" w:type="dxa"/>
              <w:right w:w="120" w:type="dxa"/>
            </w:tcMar>
            <w:vAlign w:val="center"/>
          </w:tcPr>
          <w:p w14:paraId="4A05EA49" w14:textId="77777777" w:rsidR="007E3836" w:rsidRDefault="00000000">
            <w:pPr>
              <w:spacing w:after="40" w:line="245" w:lineRule="auto"/>
            </w:pPr>
            <w:r>
              <w:rPr>
                <w:sz w:val="17"/>
              </w:rPr>
              <w:t>The service studied and documented for connecting to the transmission system.</w:t>
            </w:r>
          </w:p>
        </w:tc>
        <w:tc>
          <w:tcPr>
            <w:tcW w:w="4248" w:type="dxa"/>
            <w:shd w:val="clear" w:color="auto" w:fill="F7F9FA"/>
            <w:tcMar>
              <w:top w:w="100" w:type="dxa"/>
              <w:left w:w="120" w:type="dxa"/>
              <w:bottom w:w="100" w:type="dxa"/>
              <w:right w:w="120" w:type="dxa"/>
            </w:tcMar>
            <w:vAlign w:val="center"/>
          </w:tcPr>
          <w:p w14:paraId="5FF9E1C9" w14:textId="77777777" w:rsidR="007E3836" w:rsidRDefault="00000000">
            <w:pPr>
              <w:spacing w:after="40" w:line="245" w:lineRule="auto"/>
            </w:pPr>
            <w:r>
              <w:rPr>
                <w:sz w:val="17"/>
              </w:rPr>
              <w:t>A GIA defines connection obligations; it is not a construction guarantee.</w:t>
            </w:r>
          </w:p>
        </w:tc>
      </w:tr>
      <w:tr w:rsidR="007E3836" w14:paraId="4E78756B" w14:textId="77777777">
        <w:trPr>
          <w:cantSplit/>
          <w:jc w:val="center"/>
        </w:trPr>
        <w:tc>
          <w:tcPr>
            <w:tcW w:w="1800" w:type="dxa"/>
            <w:tcMar>
              <w:top w:w="100" w:type="dxa"/>
              <w:left w:w="120" w:type="dxa"/>
              <w:bottom w:w="100" w:type="dxa"/>
              <w:right w:w="120" w:type="dxa"/>
            </w:tcMar>
            <w:vAlign w:val="center"/>
          </w:tcPr>
          <w:p w14:paraId="142439D7" w14:textId="77777777" w:rsidR="007E3836" w:rsidRDefault="00000000">
            <w:pPr>
              <w:spacing w:after="40" w:line="245" w:lineRule="auto"/>
            </w:pPr>
            <w:r>
              <w:rPr>
                <w:sz w:val="17"/>
              </w:rPr>
              <w:t>Accredited capacity</w:t>
            </w:r>
          </w:p>
        </w:tc>
        <w:tc>
          <w:tcPr>
            <w:tcW w:w="3744" w:type="dxa"/>
            <w:tcMar>
              <w:top w:w="100" w:type="dxa"/>
              <w:left w:w="120" w:type="dxa"/>
              <w:bottom w:w="100" w:type="dxa"/>
              <w:right w:w="120" w:type="dxa"/>
            </w:tcMar>
            <w:vAlign w:val="center"/>
          </w:tcPr>
          <w:p w14:paraId="4CCBB363" w14:textId="00283046" w:rsidR="007E3836" w:rsidRDefault="00CD053D" w:rsidP="00CD053D">
            <w:pPr>
              <w:spacing w:after="40" w:line="244" w:lineRule="auto"/>
            </w:pPr>
            <w:r w:rsidRPr="00CD053D">
              <w:rPr>
                <w:sz w:val="17"/>
                <w:szCs w:val="17"/>
              </w:rPr>
              <w:t>The amount of a resource’s capacity that MISO allows to count toward reliability needs, based on seasonal performance rules, technology type, availability, and resource-specific characteristics.</w:t>
            </w:r>
          </w:p>
        </w:tc>
        <w:tc>
          <w:tcPr>
            <w:tcW w:w="4248" w:type="dxa"/>
            <w:tcMar>
              <w:top w:w="100" w:type="dxa"/>
              <w:left w:w="120" w:type="dxa"/>
              <w:bottom w:w="100" w:type="dxa"/>
              <w:right w:w="120" w:type="dxa"/>
            </w:tcMar>
            <w:vAlign w:val="center"/>
          </w:tcPr>
          <w:p w14:paraId="3DADC557" w14:textId="77777777" w:rsidR="007E3836" w:rsidRDefault="00000000">
            <w:pPr>
              <w:spacing w:after="40" w:line="245" w:lineRule="auto"/>
            </w:pPr>
            <w:r>
              <w:rPr>
                <w:sz w:val="17"/>
              </w:rPr>
              <w:t>A 400 MW resource may contribute something other than 400 MW to adequacy.</w:t>
            </w:r>
          </w:p>
        </w:tc>
      </w:tr>
      <w:tr w:rsidR="007E3836" w14:paraId="74F5ED4E" w14:textId="77777777">
        <w:trPr>
          <w:cantSplit/>
          <w:jc w:val="center"/>
        </w:trPr>
        <w:tc>
          <w:tcPr>
            <w:tcW w:w="1800" w:type="dxa"/>
            <w:shd w:val="clear" w:color="auto" w:fill="F7F9FA"/>
            <w:tcMar>
              <w:top w:w="100" w:type="dxa"/>
              <w:left w:w="120" w:type="dxa"/>
              <w:bottom w:w="100" w:type="dxa"/>
              <w:right w:w="120" w:type="dxa"/>
            </w:tcMar>
            <w:vAlign w:val="center"/>
          </w:tcPr>
          <w:p w14:paraId="7E3D6967" w14:textId="77777777" w:rsidR="007E3836" w:rsidRDefault="00000000">
            <w:pPr>
              <w:spacing w:after="40" w:line="245" w:lineRule="auto"/>
            </w:pPr>
            <w:r>
              <w:rPr>
                <w:sz w:val="17"/>
              </w:rPr>
              <w:t>Energy</w:t>
            </w:r>
          </w:p>
        </w:tc>
        <w:tc>
          <w:tcPr>
            <w:tcW w:w="3744" w:type="dxa"/>
            <w:shd w:val="clear" w:color="auto" w:fill="F7F9FA"/>
            <w:tcMar>
              <w:top w:w="100" w:type="dxa"/>
              <w:left w:w="120" w:type="dxa"/>
              <w:bottom w:w="100" w:type="dxa"/>
              <w:right w:w="120" w:type="dxa"/>
            </w:tcMar>
            <w:vAlign w:val="center"/>
          </w:tcPr>
          <w:p w14:paraId="150184F7" w14:textId="77777777" w:rsidR="007E3836" w:rsidRDefault="00000000">
            <w:pPr>
              <w:spacing w:after="40" w:line="245" w:lineRule="auto"/>
            </w:pPr>
            <w:r>
              <w:rPr>
                <w:sz w:val="17"/>
              </w:rPr>
              <w:t>MWh produced or discharged over time.</w:t>
            </w:r>
          </w:p>
        </w:tc>
        <w:tc>
          <w:tcPr>
            <w:tcW w:w="4248" w:type="dxa"/>
            <w:shd w:val="clear" w:color="auto" w:fill="F7F9FA"/>
            <w:tcMar>
              <w:top w:w="100" w:type="dxa"/>
              <w:left w:w="120" w:type="dxa"/>
              <w:bottom w:w="100" w:type="dxa"/>
              <w:right w:w="120" w:type="dxa"/>
            </w:tcMar>
            <w:vAlign w:val="center"/>
          </w:tcPr>
          <w:p w14:paraId="7656A49C" w14:textId="77777777" w:rsidR="007E3836" w:rsidRDefault="00000000">
            <w:pPr>
              <w:spacing w:after="40" w:line="245" w:lineRule="auto"/>
            </w:pPr>
            <w:r>
              <w:rPr>
                <w:sz w:val="17"/>
              </w:rPr>
              <w:t>Capacity answers “available when needed”; energy answers “how much over time.”</w:t>
            </w:r>
          </w:p>
        </w:tc>
      </w:tr>
      <w:tr w:rsidR="007E3836" w14:paraId="76116B99" w14:textId="77777777">
        <w:trPr>
          <w:cantSplit/>
          <w:jc w:val="center"/>
        </w:trPr>
        <w:tc>
          <w:tcPr>
            <w:tcW w:w="1800" w:type="dxa"/>
            <w:tcMar>
              <w:top w:w="100" w:type="dxa"/>
              <w:left w:w="120" w:type="dxa"/>
              <w:bottom w:w="100" w:type="dxa"/>
              <w:right w:w="120" w:type="dxa"/>
            </w:tcMar>
            <w:vAlign w:val="center"/>
          </w:tcPr>
          <w:p w14:paraId="199DB443" w14:textId="77777777" w:rsidR="007E3836" w:rsidRDefault="00000000">
            <w:pPr>
              <w:spacing w:after="40" w:line="245" w:lineRule="auto"/>
            </w:pPr>
            <w:r>
              <w:rPr>
                <w:sz w:val="17"/>
              </w:rPr>
              <w:t>Deliverability</w:t>
            </w:r>
          </w:p>
        </w:tc>
        <w:tc>
          <w:tcPr>
            <w:tcW w:w="3744" w:type="dxa"/>
            <w:tcMar>
              <w:top w:w="100" w:type="dxa"/>
              <w:left w:w="120" w:type="dxa"/>
              <w:bottom w:w="100" w:type="dxa"/>
              <w:right w:w="120" w:type="dxa"/>
            </w:tcMar>
            <w:vAlign w:val="center"/>
          </w:tcPr>
          <w:p w14:paraId="5219299B" w14:textId="77777777" w:rsidR="007E3836" w:rsidRDefault="00000000">
            <w:pPr>
              <w:spacing w:after="40" w:line="245" w:lineRule="auto"/>
            </w:pPr>
            <w:r>
              <w:rPr>
                <w:sz w:val="17"/>
              </w:rPr>
              <w:t>The ability to move output through the network under studied conditions.</w:t>
            </w:r>
          </w:p>
        </w:tc>
        <w:tc>
          <w:tcPr>
            <w:tcW w:w="4248" w:type="dxa"/>
            <w:tcMar>
              <w:top w:w="100" w:type="dxa"/>
              <w:left w:w="120" w:type="dxa"/>
              <w:bottom w:w="100" w:type="dxa"/>
              <w:right w:w="120" w:type="dxa"/>
            </w:tcMar>
            <w:vAlign w:val="center"/>
          </w:tcPr>
          <w:p w14:paraId="2A5E1326" w14:textId="77777777" w:rsidR="007E3836" w:rsidRDefault="00000000">
            <w:pPr>
              <w:spacing w:after="40" w:line="245" w:lineRule="auto"/>
            </w:pPr>
            <w:r>
              <w:rPr>
                <w:sz w:val="17"/>
              </w:rPr>
              <w:t>Local generation can still face network constraints.</w:t>
            </w:r>
          </w:p>
        </w:tc>
      </w:tr>
      <w:tr w:rsidR="007E3836" w14:paraId="39C435B8" w14:textId="77777777">
        <w:trPr>
          <w:cantSplit/>
          <w:jc w:val="center"/>
        </w:trPr>
        <w:tc>
          <w:tcPr>
            <w:tcW w:w="1800" w:type="dxa"/>
            <w:shd w:val="clear" w:color="auto" w:fill="F7F9FA"/>
            <w:tcMar>
              <w:top w:w="100" w:type="dxa"/>
              <w:left w:w="120" w:type="dxa"/>
              <w:bottom w:w="100" w:type="dxa"/>
              <w:right w:w="120" w:type="dxa"/>
            </w:tcMar>
            <w:vAlign w:val="center"/>
          </w:tcPr>
          <w:p w14:paraId="1559C1C6" w14:textId="77777777" w:rsidR="007E3836" w:rsidRDefault="00000000">
            <w:pPr>
              <w:spacing w:after="40" w:line="245" w:lineRule="auto"/>
            </w:pPr>
            <w:r>
              <w:rPr>
                <w:sz w:val="17"/>
              </w:rPr>
              <w:t>Resource adequacy</w:t>
            </w:r>
          </w:p>
        </w:tc>
        <w:tc>
          <w:tcPr>
            <w:tcW w:w="3744" w:type="dxa"/>
            <w:shd w:val="clear" w:color="auto" w:fill="F7F9FA"/>
            <w:tcMar>
              <w:top w:w="100" w:type="dxa"/>
              <w:left w:w="120" w:type="dxa"/>
              <w:bottom w:w="100" w:type="dxa"/>
              <w:right w:w="120" w:type="dxa"/>
            </w:tcMar>
            <w:vAlign w:val="center"/>
          </w:tcPr>
          <w:p w14:paraId="2F6B7FB4" w14:textId="77777777" w:rsidR="007E3836" w:rsidRDefault="00000000">
            <w:pPr>
              <w:spacing w:after="40" w:line="245" w:lineRule="auto"/>
            </w:pPr>
            <w:r>
              <w:rPr>
                <w:sz w:val="17"/>
              </w:rPr>
              <w:t>Enough available supply to meet demand with a defined reliability standard.</w:t>
            </w:r>
          </w:p>
        </w:tc>
        <w:tc>
          <w:tcPr>
            <w:tcW w:w="4248" w:type="dxa"/>
            <w:shd w:val="clear" w:color="auto" w:fill="F7F9FA"/>
            <w:tcMar>
              <w:top w:w="100" w:type="dxa"/>
              <w:left w:w="120" w:type="dxa"/>
              <w:bottom w:w="100" w:type="dxa"/>
              <w:right w:w="120" w:type="dxa"/>
            </w:tcMar>
            <w:vAlign w:val="center"/>
          </w:tcPr>
          <w:p w14:paraId="4A0EEDC3" w14:textId="77777777" w:rsidR="007E3836" w:rsidRDefault="00000000">
            <w:pPr>
              <w:spacing w:after="40" w:line="245" w:lineRule="auto"/>
            </w:pPr>
            <w:r>
              <w:rPr>
                <w:sz w:val="17"/>
              </w:rPr>
              <w:t>This is the planning problem ERAS is meant to help address.</w:t>
            </w:r>
          </w:p>
        </w:tc>
      </w:tr>
    </w:tbl>
    <w:p w14:paraId="4F377B47" w14:textId="77777777" w:rsidR="00076B49" w:rsidRDefault="00076B49">
      <w:pPr>
        <w:rPr>
          <w:kern w:val="2"/>
          <w:szCs w:val="20"/>
          <w14:ligatures w14:val="standardContextual"/>
        </w:rPr>
      </w:pPr>
      <w:r>
        <w:t xml:space="preserve">The main takeaway is simple: do not let a single MW number carry more meaning than it should. For policy and business decisions, the meaningful question is whether the resource is deliverable, accredited, financeable, and available in the season and location where risk </w:t>
      </w:r>
      <w:proofErr w:type="gramStart"/>
      <w:r>
        <w:t>actually exists</w:t>
      </w:r>
      <w:proofErr w:type="gramEnd"/>
      <w:r>
        <w:t>.</w:t>
      </w:r>
    </w:p>
    <w:p w14:paraId="374DB28E" w14:textId="77777777" w:rsidR="007E3836" w:rsidRDefault="007E3836">
      <w:pPr>
        <w:spacing w:after="20"/>
      </w:pPr>
    </w:p>
    <w:p w14:paraId="3AC7BBD7" w14:textId="77777777" w:rsidR="007E3836" w:rsidRDefault="00000000">
      <w:r>
        <w:br w:type="page"/>
      </w:r>
    </w:p>
    <w:p w14:paraId="1B7E012C" w14:textId="77777777" w:rsidR="007E3836" w:rsidRDefault="00000000">
      <w:pPr>
        <w:pStyle w:val="Heading1"/>
      </w:pPr>
      <w:r>
        <w:lastRenderedPageBreak/>
        <w:t>2. The Five Overlapping Generation Cycles</w:t>
      </w:r>
    </w:p>
    <w:p w14:paraId="4BFFB533" w14:textId="77777777" w:rsidR="007E3836" w:rsidRDefault="00000000">
      <w:pPr>
        <w:pStyle w:val="Heading2"/>
      </w:pPr>
      <w:r>
        <w:t>Cycle A: Need Identification and Commercial Origination</w:t>
      </w:r>
    </w:p>
    <w:p w14:paraId="2BD7328E" w14:textId="77777777" w:rsidR="007E3836" w:rsidRDefault="00000000">
      <w:pPr>
        <w:pStyle w:val="ListNumber"/>
      </w:pPr>
      <w:r>
        <w:t>A utility, load-serving entity, state, regulator, or customer identifies a credible need. The trigger may be load growth, retirement, declining accreditation, transfer limitations, policy requirements, or a local deficiency.</w:t>
      </w:r>
    </w:p>
    <w:p w14:paraId="79BB40EF" w14:textId="77777777" w:rsidR="007E3836" w:rsidRDefault="00000000">
      <w:pPr>
        <w:pStyle w:val="ListNumber"/>
      </w:pPr>
      <w:r>
        <w:t>The sponsor tests whether the need is durable. For large loads, that means scrutinizing schedule, ramp, creditworthiness, operating profile, and the consequences of delay or cancellation.</w:t>
      </w:r>
    </w:p>
    <w:p w14:paraId="1FB6F861" w14:textId="77777777" w:rsidR="007E3836" w:rsidRDefault="00000000">
      <w:pPr>
        <w:pStyle w:val="ListNumber"/>
      </w:pPr>
      <w:r>
        <w:t>A resource concept is matched to the need. Technology choice depends on timing, operating duty, fuel, emissions, land, transmission, contractability, and policy fit.</w:t>
      </w:r>
    </w:p>
    <w:p w14:paraId="496355EA" w14:textId="77777777" w:rsidR="007E3836" w:rsidRDefault="00000000">
      <w:pPr>
        <w:pStyle w:val="ListNumber"/>
      </w:pPr>
      <w:r>
        <w:t>Commercial structure begins. The parties determine who develops, owns, contracts for, pays for, and bears risk if the project or load changes.</w:t>
      </w:r>
    </w:p>
    <w:tbl>
      <w:tblPr>
        <w:tblW w:w="0" w:type="auto"/>
        <w:jc w:val="center"/>
        <w:tblLayout w:type="fixed"/>
        <w:tblLook w:val="04A0" w:firstRow="1" w:lastRow="0" w:firstColumn="1" w:lastColumn="0" w:noHBand="0" w:noVBand="1"/>
      </w:tblPr>
      <w:tblGrid>
        <w:gridCol w:w="9936"/>
      </w:tblGrid>
      <w:tr w:rsidR="007E3836" w14:paraId="764CC9CE" w14:textId="77777777">
        <w:trPr>
          <w:jc w:val="center"/>
        </w:trPr>
        <w:tc>
          <w:tcPr>
            <w:tcW w:w="9936" w:type="dxa"/>
            <w:shd w:val="clear" w:color="auto" w:fill="EAF2F8"/>
            <w:tcMar>
              <w:top w:w="150" w:type="dxa"/>
              <w:left w:w="180" w:type="dxa"/>
              <w:bottom w:w="150" w:type="dxa"/>
              <w:right w:w="180" w:type="dxa"/>
            </w:tcMar>
          </w:tcPr>
          <w:p w14:paraId="02E3C016" w14:textId="77777777" w:rsidR="007E3836" w:rsidRDefault="00000000">
            <w:pPr>
              <w:spacing w:after="40" w:line="245" w:lineRule="auto"/>
            </w:pPr>
            <w:r>
              <w:rPr>
                <w:b/>
                <w:color w:val="17365D"/>
                <w:sz w:val="22"/>
              </w:rPr>
              <w:t>GR question</w:t>
            </w:r>
            <w:r>
              <w:rPr>
                <w:b/>
                <w:color w:val="17365D"/>
                <w:sz w:val="22"/>
              </w:rPr>
              <w:br/>
            </w:r>
            <w:r>
              <w:rPr>
                <w:sz w:val="19"/>
              </w:rPr>
              <w:t>What evidence converts a promising economic-development prospect into a planning-grade load assumption, and who is accountable if that assumption changes?</w:t>
            </w:r>
          </w:p>
        </w:tc>
      </w:tr>
    </w:tbl>
    <w:p w14:paraId="7AE6DE6B" w14:textId="77777777" w:rsidR="007E3836" w:rsidRDefault="007E3836">
      <w:pPr>
        <w:spacing w:after="20"/>
      </w:pPr>
    </w:p>
    <w:p w14:paraId="05EFA616" w14:textId="77777777" w:rsidR="007E3836" w:rsidRDefault="00000000">
      <w:pPr>
        <w:pStyle w:val="Heading2"/>
      </w:pPr>
      <w:r>
        <w:t>Cycle B: Site, Permit, Fuel, and Community Development</w:t>
      </w:r>
    </w:p>
    <w:p w14:paraId="55C34D2B" w14:textId="77777777" w:rsidR="007E3836" w:rsidRDefault="00000000">
      <w:pPr>
        <w:pStyle w:val="ListBullet"/>
      </w:pPr>
      <w:r>
        <w:t>Site control: land rights, zoning compatibility, access, water, and environmental conditions.</w:t>
      </w:r>
    </w:p>
    <w:p w14:paraId="407446C8" w14:textId="77777777" w:rsidR="007E3836" w:rsidRDefault="00000000">
      <w:pPr>
        <w:pStyle w:val="ListBullet"/>
      </w:pPr>
      <w:r>
        <w:t>Local approvals: zoning, land use, community agreements, road and construction impacts.</w:t>
      </w:r>
    </w:p>
    <w:p w14:paraId="47CC5088" w14:textId="77777777" w:rsidR="007E3836" w:rsidRDefault="00000000">
      <w:pPr>
        <w:pStyle w:val="ListBullet"/>
      </w:pPr>
      <w:r>
        <w:t>Environmental approvals: air, water, waste, wetlands, species, and other applicable reviews.</w:t>
      </w:r>
    </w:p>
    <w:p w14:paraId="043A3E23" w14:textId="77777777" w:rsidR="007E3836" w:rsidRDefault="00000000">
      <w:pPr>
        <w:pStyle w:val="ListBullet"/>
      </w:pPr>
      <w:r>
        <w:t>Fuel and logistics: pipeline capacity and firm transportation for gas; charging source and duration for storage; equipment supply for all technologies.</w:t>
      </w:r>
    </w:p>
    <w:p w14:paraId="496E7831" w14:textId="77777777" w:rsidR="007E3836" w:rsidRDefault="00000000">
      <w:pPr>
        <w:pStyle w:val="ListBullet"/>
      </w:pPr>
      <w:r>
        <w:t>Community legitimacy: tax base, jobs, local burdens, emergency response, land use, and trust.</w:t>
      </w:r>
    </w:p>
    <w:p w14:paraId="2E05C179" w14:textId="77777777" w:rsidR="007E3836" w:rsidRDefault="00000000">
      <w:r>
        <w:t>These activities often proceed in parallel with interconnection work. That creates development risk because money is committed before every approval or network cost is known.</w:t>
      </w:r>
    </w:p>
    <w:p w14:paraId="2DDC1859" w14:textId="77777777" w:rsidR="007E3836" w:rsidRDefault="00000000">
      <w:pPr>
        <w:pStyle w:val="Heading2"/>
      </w:pPr>
      <w:r>
        <w:t>Cycle C: MISO Generator Interconnection</w:t>
      </w:r>
    </w:p>
    <w:p w14:paraId="6F9EDC8E" w14:textId="77777777" w:rsidR="007E3836" w:rsidRDefault="00000000">
      <w:r>
        <w:t>Under the standard Generator Interconnection Queue, requests progress through MISO’s three-phase Definitive Planning Phase. MISO’s published sequence includes preliminary, revised, and final system-impact work, facility studies, decision points, milestones, and then negotiation and execution of the GIA. MISO states that it uses reasonable efforts to complete DPP system-impact and facility studies in approximately 355 calendar days, followed by an estimated 150-day GIA stage. [3]</w:t>
      </w:r>
    </w:p>
    <w:tbl>
      <w:tblPr>
        <w:tblStyle w:val="TableGrid"/>
        <w:tblW w:w="0" w:type="auto"/>
        <w:jc w:val="center"/>
        <w:tblLayout w:type="fixed"/>
        <w:tblLook w:val="04A0" w:firstRow="1" w:lastRow="0" w:firstColumn="1" w:lastColumn="0" w:noHBand="0" w:noVBand="1"/>
      </w:tblPr>
      <w:tblGrid>
        <w:gridCol w:w="1728"/>
        <w:gridCol w:w="3888"/>
        <w:gridCol w:w="4176"/>
      </w:tblGrid>
      <w:tr w:rsidR="007E3836" w14:paraId="56DD9251" w14:textId="77777777">
        <w:trPr>
          <w:tblHeader/>
          <w:jc w:val="center"/>
        </w:trPr>
        <w:tc>
          <w:tcPr>
            <w:tcW w:w="1728" w:type="dxa"/>
            <w:shd w:val="clear" w:color="auto" w:fill="17365D"/>
            <w:tcMar>
              <w:top w:w="100" w:type="dxa"/>
              <w:left w:w="120" w:type="dxa"/>
              <w:bottom w:w="100" w:type="dxa"/>
              <w:right w:w="120" w:type="dxa"/>
            </w:tcMar>
            <w:vAlign w:val="center"/>
          </w:tcPr>
          <w:p w14:paraId="3C8025B4" w14:textId="77777777" w:rsidR="007E3836" w:rsidRDefault="00000000">
            <w:pPr>
              <w:spacing w:after="40" w:line="245" w:lineRule="auto"/>
            </w:pPr>
            <w:r>
              <w:rPr>
                <w:b/>
                <w:color w:val="FFFFFF"/>
                <w:sz w:val="17"/>
              </w:rPr>
              <w:t>Stage</w:t>
            </w:r>
          </w:p>
        </w:tc>
        <w:tc>
          <w:tcPr>
            <w:tcW w:w="3888" w:type="dxa"/>
            <w:shd w:val="clear" w:color="auto" w:fill="17365D"/>
            <w:tcMar>
              <w:top w:w="100" w:type="dxa"/>
              <w:left w:w="120" w:type="dxa"/>
              <w:bottom w:w="100" w:type="dxa"/>
              <w:right w:w="120" w:type="dxa"/>
            </w:tcMar>
            <w:vAlign w:val="center"/>
          </w:tcPr>
          <w:p w14:paraId="1B333672" w14:textId="77777777" w:rsidR="007E3836" w:rsidRDefault="00000000">
            <w:pPr>
              <w:spacing w:after="40" w:line="245" w:lineRule="auto"/>
            </w:pPr>
            <w:r>
              <w:rPr>
                <w:b/>
                <w:color w:val="FFFFFF"/>
                <w:sz w:val="17"/>
              </w:rPr>
              <w:t>Primary question</w:t>
            </w:r>
          </w:p>
        </w:tc>
        <w:tc>
          <w:tcPr>
            <w:tcW w:w="4176" w:type="dxa"/>
            <w:shd w:val="clear" w:color="auto" w:fill="17365D"/>
            <w:tcMar>
              <w:top w:w="100" w:type="dxa"/>
              <w:left w:w="120" w:type="dxa"/>
              <w:bottom w:w="100" w:type="dxa"/>
              <w:right w:w="120" w:type="dxa"/>
            </w:tcMar>
            <w:vAlign w:val="center"/>
          </w:tcPr>
          <w:p w14:paraId="16BC74E7" w14:textId="77777777" w:rsidR="007E3836" w:rsidRDefault="00000000">
            <w:pPr>
              <w:spacing w:after="40" w:line="245" w:lineRule="auto"/>
            </w:pPr>
            <w:r>
              <w:rPr>
                <w:b/>
                <w:color w:val="FFFFFF"/>
                <w:sz w:val="17"/>
              </w:rPr>
              <w:t>Commercial consequence</w:t>
            </w:r>
          </w:p>
        </w:tc>
      </w:tr>
      <w:tr w:rsidR="007E3836" w14:paraId="7B018595" w14:textId="77777777">
        <w:trPr>
          <w:cantSplit/>
          <w:jc w:val="center"/>
        </w:trPr>
        <w:tc>
          <w:tcPr>
            <w:tcW w:w="1728" w:type="dxa"/>
            <w:tcMar>
              <w:top w:w="100" w:type="dxa"/>
              <w:left w:w="120" w:type="dxa"/>
              <w:bottom w:w="100" w:type="dxa"/>
              <w:right w:w="120" w:type="dxa"/>
            </w:tcMar>
            <w:vAlign w:val="center"/>
          </w:tcPr>
          <w:p w14:paraId="0D430372" w14:textId="77777777" w:rsidR="007E3836" w:rsidRDefault="00000000">
            <w:pPr>
              <w:spacing w:after="40" w:line="245" w:lineRule="auto"/>
            </w:pPr>
            <w:r>
              <w:rPr>
                <w:sz w:val="17"/>
              </w:rPr>
              <w:t>Application and readiness</w:t>
            </w:r>
          </w:p>
        </w:tc>
        <w:tc>
          <w:tcPr>
            <w:tcW w:w="3888" w:type="dxa"/>
            <w:tcMar>
              <w:top w:w="100" w:type="dxa"/>
              <w:left w:w="120" w:type="dxa"/>
              <w:bottom w:w="100" w:type="dxa"/>
              <w:right w:w="120" w:type="dxa"/>
            </w:tcMar>
            <w:vAlign w:val="center"/>
          </w:tcPr>
          <w:p w14:paraId="5EE7F3F8" w14:textId="77777777" w:rsidR="007E3836" w:rsidRDefault="00000000">
            <w:pPr>
              <w:spacing w:after="40" w:line="245" w:lineRule="auto"/>
            </w:pPr>
            <w:r>
              <w:rPr>
                <w:sz w:val="17"/>
              </w:rPr>
              <w:t>Is the request complete, technically defined, and supported by required deposits and site control?</w:t>
            </w:r>
          </w:p>
        </w:tc>
        <w:tc>
          <w:tcPr>
            <w:tcW w:w="4176" w:type="dxa"/>
            <w:tcMar>
              <w:top w:w="100" w:type="dxa"/>
              <w:left w:w="120" w:type="dxa"/>
              <w:bottom w:w="100" w:type="dxa"/>
              <w:right w:w="120" w:type="dxa"/>
            </w:tcMar>
            <w:vAlign w:val="center"/>
          </w:tcPr>
          <w:p w14:paraId="03875CD8" w14:textId="77777777" w:rsidR="007E3836" w:rsidRDefault="00000000">
            <w:pPr>
              <w:spacing w:after="40" w:line="245" w:lineRule="auto"/>
            </w:pPr>
            <w:r>
              <w:rPr>
                <w:sz w:val="17"/>
              </w:rPr>
              <w:t>Weak readiness creates delay or withdrawal risk.</w:t>
            </w:r>
          </w:p>
        </w:tc>
      </w:tr>
      <w:tr w:rsidR="007E3836" w14:paraId="318E4EE8" w14:textId="77777777">
        <w:trPr>
          <w:cantSplit/>
          <w:jc w:val="center"/>
        </w:trPr>
        <w:tc>
          <w:tcPr>
            <w:tcW w:w="1728" w:type="dxa"/>
            <w:shd w:val="clear" w:color="auto" w:fill="F7F9FA"/>
            <w:tcMar>
              <w:top w:w="100" w:type="dxa"/>
              <w:left w:w="120" w:type="dxa"/>
              <w:bottom w:w="100" w:type="dxa"/>
              <w:right w:w="120" w:type="dxa"/>
            </w:tcMar>
            <w:vAlign w:val="center"/>
          </w:tcPr>
          <w:p w14:paraId="046EB166" w14:textId="77777777" w:rsidR="007E3836" w:rsidRDefault="00000000">
            <w:pPr>
              <w:spacing w:after="40" w:line="245" w:lineRule="auto"/>
            </w:pPr>
            <w:r>
              <w:rPr>
                <w:sz w:val="17"/>
              </w:rPr>
              <w:t>DPP Phase 1</w:t>
            </w:r>
          </w:p>
        </w:tc>
        <w:tc>
          <w:tcPr>
            <w:tcW w:w="3888" w:type="dxa"/>
            <w:shd w:val="clear" w:color="auto" w:fill="F7F9FA"/>
            <w:tcMar>
              <w:top w:w="100" w:type="dxa"/>
              <w:left w:w="120" w:type="dxa"/>
              <w:bottom w:w="100" w:type="dxa"/>
              <w:right w:w="120" w:type="dxa"/>
            </w:tcMar>
            <w:vAlign w:val="center"/>
          </w:tcPr>
          <w:p w14:paraId="25984ABB" w14:textId="77777777" w:rsidR="007E3836" w:rsidRDefault="00000000">
            <w:pPr>
              <w:spacing w:after="40" w:line="245" w:lineRule="auto"/>
            </w:pPr>
            <w:r>
              <w:rPr>
                <w:sz w:val="17"/>
              </w:rPr>
              <w:t>What preliminary system impacts and upgrade needs appear?</w:t>
            </w:r>
          </w:p>
        </w:tc>
        <w:tc>
          <w:tcPr>
            <w:tcW w:w="4176" w:type="dxa"/>
            <w:shd w:val="clear" w:color="auto" w:fill="F7F9FA"/>
            <w:tcMar>
              <w:top w:w="100" w:type="dxa"/>
              <w:left w:w="120" w:type="dxa"/>
              <w:bottom w:w="100" w:type="dxa"/>
              <w:right w:w="120" w:type="dxa"/>
            </w:tcMar>
            <w:vAlign w:val="center"/>
          </w:tcPr>
          <w:p w14:paraId="5E77B602" w14:textId="77777777" w:rsidR="007E3836" w:rsidRDefault="00000000">
            <w:pPr>
              <w:spacing w:after="40" w:line="245" w:lineRule="auto"/>
            </w:pPr>
            <w:r>
              <w:rPr>
                <w:sz w:val="17"/>
              </w:rPr>
              <w:t>First major test of cost and feasibility.</w:t>
            </w:r>
          </w:p>
        </w:tc>
      </w:tr>
      <w:tr w:rsidR="007E3836" w14:paraId="5864B8FF" w14:textId="77777777">
        <w:trPr>
          <w:cantSplit/>
          <w:jc w:val="center"/>
        </w:trPr>
        <w:tc>
          <w:tcPr>
            <w:tcW w:w="1728" w:type="dxa"/>
            <w:tcMar>
              <w:top w:w="100" w:type="dxa"/>
              <w:left w:w="120" w:type="dxa"/>
              <w:bottom w:w="100" w:type="dxa"/>
              <w:right w:w="120" w:type="dxa"/>
            </w:tcMar>
            <w:vAlign w:val="center"/>
          </w:tcPr>
          <w:p w14:paraId="3B75EE80" w14:textId="77777777" w:rsidR="007E3836" w:rsidRDefault="00000000">
            <w:pPr>
              <w:spacing w:after="40" w:line="245" w:lineRule="auto"/>
            </w:pPr>
            <w:r>
              <w:rPr>
                <w:sz w:val="17"/>
              </w:rPr>
              <w:t>Decision Point 1</w:t>
            </w:r>
          </w:p>
        </w:tc>
        <w:tc>
          <w:tcPr>
            <w:tcW w:w="3888" w:type="dxa"/>
            <w:tcMar>
              <w:top w:w="100" w:type="dxa"/>
              <w:left w:w="120" w:type="dxa"/>
              <w:bottom w:w="100" w:type="dxa"/>
              <w:right w:w="120" w:type="dxa"/>
            </w:tcMar>
            <w:vAlign w:val="center"/>
          </w:tcPr>
          <w:p w14:paraId="364B84A2" w14:textId="77777777" w:rsidR="007E3836" w:rsidRDefault="00000000">
            <w:pPr>
              <w:spacing w:after="40" w:line="245" w:lineRule="auto"/>
            </w:pPr>
            <w:r>
              <w:rPr>
                <w:sz w:val="17"/>
              </w:rPr>
              <w:t>Does the customer continue after preliminary results?</w:t>
            </w:r>
          </w:p>
        </w:tc>
        <w:tc>
          <w:tcPr>
            <w:tcW w:w="4176" w:type="dxa"/>
            <w:tcMar>
              <w:top w:w="100" w:type="dxa"/>
              <w:left w:w="120" w:type="dxa"/>
              <w:bottom w:w="100" w:type="dxa"/>
              <w:right w:w="120" w:type="dxa"/>
            </w:tcMar>
            <w:vAlign w:val="center"/>
          </w:tcPr>
          <w:p w14:paraId="0A2C166B" w14:textId="77777777" w:rsidR="007E3836" w:rsidRDefault="00000000">
            <w:pPr>
              <w:spacing w:after="40" w:line="245" w:lineRule="auto"/>
            </w:pPr>
            <w:r>
              <w:rPr>
                <w:sz w:val="17"/>
              </w:rPr>
              <w:t>Capital becomes more exposed.</w:t>
            </w:r>
          </w:p>
        </w:tc>
      </w:tr>
      <w:tr w:rsidR="007E3836" w14:paraId="29DB1BB8" w14:textId="77777777">
        <w:trPr>
          <w:cantSplit/>
          <w:jc w:val="center"/>
        </w:trPr>
        <w:tc>
          <w:tcPr>
            <w:tcW w:w="1728" w:type="dxa"/>
            <w:shd w:val="clear" w:color="auto" w:fill="F7F9FA"/>
            <w:tcMar>
              <w:top w:w="100" w:type="dxa"/>
              <w:left w:w="120" w:type="dxa"/>
              <w:bottom w:w="100" w:type="dxa"/>
              <w:right w:w="120" w:type="dxa"/>
            </w:tcMar>
            <w:vAlign w:val="center"/>
          </w:tcPr>
          <w:p w14:paraId="2B19FC55" w14:textId="77777777" w:rsidR="007E3836" w:rsidRDefault="00000000">
            <w:pPr>
              <w:spacing w:after="40" w:line="245" w:lineRule="auto"/>
            </w:pPr>
            <w:r>
              <w:rPr>
                <w:sz w:val="17"/>
              </w:rPr>
              <w:t>DPP Phase 2</w:t>
            </w:r>
          </w:p>
        </w:tc>
        <w:tc>
          <w:tcPr>
            <w:tcW w:w="3888" w:type="dxa"/>
            <w:shd w:val="clear" w:color="auto" w:fill="F7F9FA"/>
            <w:tcMar>
              <w:top w:w="100" w:type="dxa"/>
              <w:left w:w="120" w:type="dxa"/>
              <w:bottom w:w="100" w:type="dxa"/>
              <w:right w:w="120" w:type="dxa"/>
            </w:tcMar>
            <w:vAlign w:val="center"/>
          </w:tcPr>
          <w:p w14:paraId="1EF21FB9" w14:textId="77777777" w:rsidR="007E3836" w:rsidRDefault="00000000">
            <w:pPr>
              <w:spacing w:after="40" w:line="245" w:lineRule="auto"/>
            </w:pPr>
            <w:r>
              <w:rPr>
                <w:sz w:val="17"/>
              </w:rPr>
              <w:t>How do revised models change impacts, facilities, and costs?</w:t>
            </w:r>
          </w:p>
        </w:tc>
        <w:tc>
          <w:tcPr>
            <w:tcW w:w="4176" w:type="dxa"/>
            <w:shd w:val="clear" w:color="auto" w:fill="F7F9FA"/>
            <w:tcMar>
              <w:top w:w="100" w:type="dxa"/>
              <w:left w:w="120" w:type="dxa"/>
              <w:bottom w:w="100" w:type="dxa"/>
              <w:right w:w="120" w:type="dxa"/>
            </w:tcMar>
            <w:vAlign w:val="center"/>
          </w:tcPr>
          <w:p w14:paraId="49B7C3B0" w14:textId="77777777" w:rsidR="007E3836" w:rsidRDefault="00000000">
            <w:pPr>
              <w:spacing w:after="40" w:line="245" w:lineRule="auto"/>
            </w:pPr>
            <w:r>
              <w:rPr>
                <w:sz w:val="17"/>
              </w:rPr>
              <w:t>Cost allocation and assumptions sharpen.</w:t>
            </w:r>
          </w:p>
        </w:tc>
      </w:tr>
      <w:tr w:rsidR="007E3836" w14:paraId="5C07E609" w14:textId="77777777">
        <w:trPr>
          <w:cantSplit/>
          <w:jc w:val="center"/>
        </w:trPr>
        <w:tc>
          <w:tcPr>
            <w:tcW w:w="1728" w:type="dxa"/>
            <w:tcMar>
              <w:top w:w="100" w:type="dxa"/>
              <w:left w:w="120" w:type="dxa"/>
              <w:bottom w:w="100" w:type="dxa"/>
              <w:right w:w="120" w:type="dxa"/>
            </w:tcMar>
            <w:vAlign w:val="center"/>
          </w:tcPr>
          <w:p w14:paraId="55C32115" w14:textId="77777777" w:rsidR="007E3836" w:rsidRDefault="00000000">
            <w:pPr>
              <w:spacing w:after="40" w:line="245" w:lineRule="auto"/>
            </w:pPr>
            <w:r>
              <w:rPr>
                <w:sz w:val="17"/>
              </w:rPr>
              <w:t>Decision Point 2</w:t>
            </w:r>
          </w:p>
        </w:tc>
        <w:tc>
          <w:tcPr>
            <w:tcW w:w="3888" w:type="dxa"/>
            <w:tcMar>
              <w:top w:w="100" w:type="dxa"/>
              <w:left w:w="120" w:type="dxa"/>
              <w:bottom w:w="100" w:type="dxa"/>
              <w:right w:w="120" w:type="dxa"/>
            </w:tcMar>
            <w:vAlign w:val="center"/>
          </w:tcPr>
          <w:p w14:paraId="39D90828" w14:textId="77777777" w:rsidR="007E3836" w:rsidRDefault="00000000">
            <w:pPr>
              <w:spacing w:after="40" w:line="245" w:lineRule="auto"/>
            </w:pPr>
            <w:r>
              <w:rPr>
                <w:sz w:val="17"/>
              </w:rPr>
              <w:t>Does the customer continue again?</w:t>
            </w:r>
          </w:p>
        </w:tc>
        <w:tc>
          <w:tcPr>
            <w:tcW w:w="4176" w:type="dxa"/>
            <w:tcMar>
              <w:top w:w="100" w:type="dxa"/>
              <w:left w:w="120" w:type="dxa"/>
              <w:bottom w:w="100" w:type="dxa"/>
              <w:right w:w="120" w:type="dxa"/>
            </w:tcMar>
            <w:vAlign w:val="center"/>
          </w:tcPr>
          <w:p w14:paraId="561AC517" w14:textId="77777777" w:rsidR="007E3836" w:rsidRDefault="00000000">
            <w:pPr>
              <w:spacing w:after="40" w:line="245" w:lineRule="auto"/>
            </w:pPr>
            <w:r>
              <w:rPr>
                <w:sz w:val="17"/>
              </w:rPr>
              <w:t>Withdrawal becomes more consequential.</w:t>
            </w:r>
          </w:p>
        </w:tc>
      </w:tr>
      <w:tr w:rsidR="007E3836" w14:paraId="6A22480F" w14:textId="77777777">
        <w:trPr>
          <w:cantSplit/>
          <w:jc w:val="center"/>
        </w:trPr>
        <w:tc>
          <w:tcPr>
            <w:tcW w:w="1728" w:type="dxa"/>
            <w:shd w:val="clear" w:color="auto" w:fill="F7F9FA"/>
            <w:tcMar>
              <w:top w:w="100" w:type="dxa"/>
              <w:left w:w="120" w:type="dxa"/>
              <w:bottom w:w="100" w:type="dxa"/>
              <w:right w:w="120" w:type="dxa"/>
            </w:tcMar>
            <w:vAlign w:val="center"/>
          </w:tcPr>
          <w:p w14:paraId="3610C994" w14:textId="77777777" w:rsidR="007E3836" w:rsidRDefault="00000000">
            <w:pPr>
              <w:spacing w:after="40" w:line="245" w:lineRule="auto"/>
            </w:pPr>
            <w:r>
              <w:rPr>
                <w:sz w:val="17"/>
              </w:rPr>
              <w:lastRenderedPageBreak/>
              <w:t>DPP Phase 3</w:t>
            </w:r>
          </w:p>
        </w:tc>
        <w:tc>
          <w:tcPr>
            <w:tcW w:w="3888" w:type="dxa"/>
            <w:shd w:val="clear" w:color="auto" w:fill="F7F9FA"/>
            <w:tcMar>
              <w:top w:w="100" w:type="dxa"/>
              <w:left w:w="120" w:type="dxa"/>
              <w:bottom w:w="100" w:type="dxa"/>
              <w:right w:w="120" w:type="dxa"/>
            </w:tcMar>
            <w:vAlign w:val="center"/>
          </w:tcPr>
          <w:p w14:paraId="3D11F23B" w14:textId="77777777" w:rsidR="007E3836" w:rsidRDefault="00000000">
            <w:pPr>
              <w:spacing w:after="40" w:line="245" w:lineRule="auto"/>
            </w:pPr>
            <w:r>
              <w:rPr>
                <w:sz w:val="17"/>
              </w:rPr>
              <w:t>What are the final system impacts and network-upgrade facilities?</w:t>
            </w:r>
          </w:p>
        </w:tc>
        <w:tc>
          <w:tcPr>
            <w:tcW w:w="4176" w:type="dxa"/>
            <w:shd w:val="clear" w:color="auto" w:fill="F7F9FA"/>
            <w:tcMar>
              <w:top w:w="100" w:type="dxa"/>
              <w:left w:w="120" w:type="dxa"/>
              <w:bottom w:w="100" w:type="dxa"/>
              <w:right w:w="120" w:type="dxa"/>
            </w:tcMar>
            <w:vAlign w:val="center"/>
          </w:tcPr>
          <w:p w14:paraId="74869580" w14:textId="77777777" w:rsidR="007E3836" w:rsidRDefault="00000000">
            <w:pPr>
              <w:spacing w:after="40" w:line="245" w:lineRule="auto"/>
            </w:pPr>
            <w:r>
              <w:rPr>
                <w:sz w:val="17"/>
              </w:rPr>
              <w:t>Forms the technical basis for the agreement.</w:t>
            </w:r>
          </w:p>
        </w:tc>
      </w:tr>
      <w:tr w:rsidR="007E3836" w14:paraId="241F4D38" w14:textId="77777777">
        <w:trPr>
          <w:cantSplit/>
          <w:jc w:val="center"/>
        </w:trPr>
        <w:tc>
          <w:tcPr>
            <w:tcW w:w="1728" w:type="dxa"/>
            <w:tcMar>
              <w:top w:w="100" w:type="dxa"/>
              <w:left w:w="120" w:type="dxa"/>
              <w:bottom w:w="100" w:type="dxa"/>
              <w:right w:w="120" w:type="dxa"/>
            </w:tcMar>
            <w:vAlign w:val="center"/>
          </w:tcPr>
          <w:p w14:paraId="40334B54" w14:textId="77777777" w:rsidR="007E3836" w:rsidRDefault="00000000">
            <w:pPr>
              <w:spacing w:after="40" w:line="245" w:lineRule="auto"/>
            </w:pPr>
            <w:r>
              <w:rPr>
                <w:sz w:val="17"/>
              </w:rPr>
              <w:t>GIA</w:t>
            </w:r>
          </w:p>
        </w:tc>
        <w:tc>
          <w:tcPr>
            <w:tcW w:w="3888" w:type="dxa"/>
            <w:tcMar>
              <w:top w:w="100" w:type="dxa"/>
              <w:left w:w="120" w:type="dxa"/>
              <w:bottom w:w="100" w:type="dxa"/>
              <w:right w:w="120" w:type="dxa"/>
            </w:tcMar>
            <w:vAlign w:val="center"/>
          </w:tcPr>
          <w:p w14:paraId="0ADDB43B" w14:textId="77777777" w:rsidR="007E3836" w:rsidRDefault="00000000">
            <w:pPr>
              <w:spacing w:after="40" w:line="245" w:lineRule="auto"/>
            </w:pPr>
            <w:r>
              <w:rPr>
                <w:sz w:val="17"/>
              </w:rPr>
              <w:t>What must each party construct, fund, and complete?</w:t>
            </w:r>
          </w:p>
        </w:tc>
        <w:tc>
          <w:tcPr>
            <w:tcW w:w="4176" w:type="dxa"/>
            <w:tcMar>
              <w:top w:w="100" w:type="dxa"/>
              <w:left w:w="120" w:type="dxa"/>
              <w:bottom w:w="100" w:type="dxa"/>
              <w:right w:w="120" w:type="dxa"/>
            </w:tcMar>
            <w:vAlign w:val="center"/>
          </w:tcPr>
          <w:p w14:paraId="7657DF52" w14:textId="77777777" w:rsidR="007E3836" w:rsidRDefault="00000000">
            <w:pPr>
              <w:spacing w:after="40" w:line="245" w:lineRule="auto"/>
            </w:pPr>
            <w:r>
              <w:rPr>
                <w:sz w:val="17"/>
              </w:rPr>
              <w:t>Contractualizes interconnection responsibilities.</w:t>
            </w:r>
          </w:p>
        </w:tc>
      </w:tr>
      <w:tr w:rsidR="007E3836" w14:paraId="3F178294" w14:textId="77777777">
        <w:trPr>
          <w:cantSplit/>
          <w:jc w:val="center"/>
        </w:trPr>
        <w:tc>
          <w:tcPr>
            <w:tcW w:w="1728" w:type="dxa"/>
            <w:shd w:val="clear" w:color="auto" w:fill="F7F9FA"/>
            <w:tcMar>
              <w:top w:w="100" w:type="dxa"/>
              <w:left w:w="120" w:type="dxa"/>
              <w:bottom w:w="100" w:type="dxa"/>
              <w:right w:w="120" w:type="dxa"/>
            </w:tcMar>
            <w:vAlign w:val="center"/>
          </w:tcPr>
          <w:p w14:paraId="5FE21DB5" w14:textId="77777777" w:rsidR="007E3836" w:rsidRDefault="00000000">
            <w:pPr>
              <w:spacing w:after="40" w:line="245" w:lineRule="auto"/>
            </w:pPr>
            <w:r>
              <w:rPr>
                <w:sz w:val="17"/>
              </w:rPr>
              <w:t>Construction and testing</w:t>
            </w:r>
          </w:p>
        </w:tc>
        <w:tc>
          <w:tcPr>
            <w:tcW w:w="3888" w:type="dxa"/>
            <w:shd w:val="clear" w:color="auto" w:fill="F7F9FA"/>
            <w:tcMar>
              <w:top w:w="100" w:type="dxa"/>
              <w:left w:w="120" w:type="dxa"/>
              <w:bottom w:w="100" w:type="dxa"/>
              <w:right w:w="120" w:type="dxa"/>
            </w:tcMar>
            <w:vAlign w:val="center"/>
          </w:tcPr>
          <w:p w14:paraId="009A83B9" w14:textId="77777777" w:rsidR="007E3836" w:rsidRDefault="00000000">
            <w:pPr>
              <w:spacing w:after="40" w:line="245" w:lineRule="auto"/>
            </w:pPr>
            <w:r>
              <w:rPr>
                <w:sz w:val="17"/>
              </w:rPr>
              <w:t>Can facilities and upgrades be placed in service safely?</w:t>
            </w:r>
          </w:p>
        </w:tc>
        <w:tc>
          <w:tcPr>
            <w:tcW w:w="4176" w:type="dxa"/>
            <w:shd w:val="clear" w:color="auto" w:fill="F7F9FA"/>
            <w:tcMar>
              <w:top w:w="100" w:type="dxa"/>
              <w:left w:w="120" w:type="dxa"/>
              <w:bottom w:w="100" w:type="dxa"/>
              <w:right w:w="120" w:type="dxa"/>
            </w:tcMar>
            <w:vAlign w:val="center"/>
          </w:tcPr>
          <w:p w14:paraId="42BBF0F3" w14:textId="77777777" w:rsidR="007E3836" w:rsidRDefault="00000000">
            <w:pPr>
              <w:spacing w:after="40" w:line="245" w:lineRule="auto"/>
            </w:pPr>
            <w:r>
              <w:rPr>
                <w:sz w:val="17"/>
              </w:rPr>
              <w:t>Schedule and execution risk remain after signing.</w:t>
            </w:r>
          </w:p>
        </w:tc>
      </w:tr>
    </w:tbl>
    <w:p w14:paraId="758E98C9" w14:textId="77777777" w:rsidR="00076B49" w:rsidRDefault="00076B49">
      <w:pPr>
        <w:rPr>
          <w:kern w:val="2"/>
          <w:szCs w:val="20"/>
          <w14:ligatures w14:val="standardContextual"/>
        </w:rPr>
      </w:pPr>
      <w:r>
        <w:t>The interconnection table should be read as a risk screen, not just a process map. Each stage either narrows uncertainty or exposes a new decision point that can affect cost, schedule, credibility, and public confidence.</w:t>
      </w:r>
    </w:p>
    <w:p w14:paraId="03F94714" w14:textId="77777777" w:rsidR="007E3836" w:rsidRDefault="007E3836">
      <w:pPr>
        <w:spacing w:after="20"/>
      </w:pPr>
    </w:p>
    <w:p w14:paraId="0D287F8B" w14:textId="77777777" w:rsidR="007E3836" w:rsidRDefault="00000000">
      <w:r>
        <w:br w:type="page"/>
      </w:r>
    </w:p>
    <w:p w14:paraId="65B1B097" w14:textId="77777777" w:rsidR="007E3836" w:rsidRDefault="00000000">
      <w:pPr>
        <w:pStyle w:val="Heading1"/>
      </w:pPr>
      <w:r>
        <w:lastRenderedPageBreak/>
        <w:t>Cycle D: Resource Adequacy and the Annual PRA</w:t>
      </w:r>
    </w:p>
    <w:p w14:paraId="6CD07A6D" w14:textId="77777777" w:rsidR="007E3836" w:rsidRDefault="00000000">
      <w:r>
        <w:t>MISO’s resource-adequacy construct operates seasonally. MISO sets requirements for summer, fall, winter, and spring within a June 1 through May 31 planning year. The annual Planning Resource Auction provides a mechanism for market participants with capacity to sell to participants expecting a shortfall, while respecting zonal and transmission constraints. [4]</w:t>
      </w:r>
    </w:p>
    <w:tbl>
      <w:tblPr>
        <w:tblStyle w:val="TableGrid"/>
        <w:tblW w:w="0" w:type="auto"/>
        <w:jc w:val="center"/>
        <w:tblLayout w:type="fixed"/>
        <w:tblLook w:val="04A0" w:firstRow="1" w:lastRow="0" w:firstColumn="1" w:lastColumn="0" w:noHBand="0" w:noVBand="1"/>
      </w:tblPr>
      <w:tblGrid>
        <w:gridCol w:w="2232"/>
        <w:gridCol w:w="3816"/>
        <w:gridCol w:w="3744"/>
      </w:tblGrid>
      <w:tr w:rsidR="007E3836" w14:paraId="2099B382" w14:textId="77777777">
        <w:trPr>
          <w:tblHeader/>
          <w:jc w:val="center"/>
        </w:trPr>
        <w:tc>
          <w:tcPr>
            <w:tcW w:w="2232" w:type="dxa"/>
            <w:shd w:val="clear" w:color="auto" w:fill="17365D"/>
            <w:tcMar>
              <w:top w:w="100" w:type="dxa"/>
              <w:left w:w="120" w:type="dxa"/>
              <w:bottom w:w="100" w:type="dxa"/>
              <w:right w:w="120" w:type="dxa"/>
            </w:tcMar>
            <w:vAlign w:val="center"/>
          </w:tcPr>
          <w:p w14:paraId="14F5A52E" w14:textId="77777777" w:rsidR="007E3836" w:rsidRDefault="00000000">
            <w:pPr>
              <w:spacing w:after="40" w:line="245" w:lineRule="auto"/>
            </w:pPr>
            <w:r>
              <w:rPr>
                <w:b/>
                <w:color w:val="FFFFFF"/>
                <w:sz w:val="17"/>
              </w:rPr>
              <w:t>Recurring step</w:t>
            </w:r>
          </w:p>
        </w:tc>
        <w:tc>
          <w:tcPr>
            <w:tcW w:w="3816" w:type="dxa"/>
            <w:shd w:val="clear" w:color="auto" w:fill="17365D"/>
            <w:tcMar>
              <w:top w:w="100" w:type="dxa"/>
              <w:left w:w="120" w:type="dxa"/>
              <w:bottom w:w="100" w:type="dxa"/>
              <w:right w:w="120" w:type="dxa"/>
            </w:tcMar>
            <w:vAlign w:val="center"/>
          </w:tcPr>
          <w:p w14:paraId="2ECE99AC" w14:textId="77777777" w:rsidR="007E3836" w:rsidRDefault="00000000">
            <w:pPr>
              <w:spacing w:after="40" w:line="245" w:lineRule="auto"/>
            </w:pPr>
            <w:r>
              <w:rPr>
                <w:b/>
                <w:color w:val="FFFFFF"/>
                <w:sz w:val="17"/>
              </w:rPr>
              <w:t>What happens</w:t>
            </w:r>
          </w:p>
        </w:tc>
        <w:tc>
          <w:tcPr>
            <w:tcW w:w="3744" w:type="dxa"/>
            <w:shd w:val="clear" w:color="auto" w:fill="17365D"/>
            <w:tcMar>
              <w:top w:w="100" w:type="dxa"/>
              <w:left w:w="120" w:type="dxa"/>
              <w:bottom w:w="100" w:type="dxa"/>
              <w:right w:w="120" w:type="dxa"/>
            </w:tcMar>
            <w:vAlign w:val="center"/>
          </w:tcPr>
          <w:p w14:paraId="46EA2BA8" w14:textId="77777777" w:rsidR="007E3836" w:rsidRDefault="00000000">
            <w:pPr>
              <w:spacing w:after="40" w:line="245" w:lineRule="auto"/>
            </w:pPr>
            <w:r>
              <w:rPr>
                <w:b/>
                <w:color w:val="FFFFFF"/>
                <w:sz w:val="17"/>
              </w:rPr>
              <w:t>Business lens</w:t>
            </w:r>
          </w:p>
        </w:tc>
      </w:tr>
      <w:tr w:rsidR="007E3836" w14:paraId="593A8FEA" w14:textId="77777777">
        <w:trPr>
          <w:cantSplit/>
          <w:jc w:val="center"/>
        </w:trPr>
        <w:tc>
          <w:tcPr>
            <w:tcW w:w="2232" w:type="dxa"/>
            <w:tcMar>
              <w:top w:w="100" w:type="dxa"/>
              <w:left w:w="120" w:type="dxa"/>
              <w:bottom w:w="100" w:type="dxa"/>
              <w:right w:w="120" w:type="dxa"/>
            </w:tcMar>
            <w:vAlign w:val="center"/>
          </w:tcPr>
          <w:p w14:paraId="43885625" w14:textId="77777777" w:rsidR="007E3836" w:rsidRDefault="00000000">
            <w:pPr>
              <w:spacing w:after="40" w:line="245" w:lineRule="auto"/>
            </w:pPr>
            <w:r>
              <w:rPr>
                <w:sz w:val="17"/>
              </w:rPr>
              <w:t>Demand forecasting</w:t>
            </w:r>
          </w:p>
        </w:tc>
        <w:tc>
          <w:tcPr>
            <w:tcW w:w="3816" w:type="dxa"/>
            <w:tcMar>
              <w:top w:w="100" w:type="dxa"/>
              <w:left w:w="120" w:type="dxa"/>
              <w:bottom w:w="100" w:type="dxa"/>
              <w:right w:w="120" w:type="dxa"/>
            </w:tcMar>
            <w:vAlign w:val="center"/>
          </w:tcPr>
          <w:p w14:paraId="605DB410" w14:textId="77777777" w:rsidR="007E3836" w:rsidRDefault="00000000">
            <w:pPr>
              <w:spacing w:after="40" w:line="245" w:lineRule="auto"/>
            </w:pPr>
            <w:r>
              <w:rPr>
                <w:sz w:val="17"/>
              </w:rPr>
              <w:t>LSE and distribution-company forecasts inform requirements.</w:t>
            </w:r>
          </w:p>
        </w:tc>
        <w:tc>
          <w:tcPr>
            <w:tcW w:w="3744" w:type="dxa"/>
            <w:tcMar>
              <w:top w:w="100" w:type="dxa"/>
              <w:left w:w="120" w:type="dxa"/>
              <w:bottom w:w="100" w:type="dxa"/>
              <w:right w:w="120" w:type="dxa"/>
            </w:tcMar>
            <w:vAlign w:val="center"/>
          </w:tcPr>
          <w:p w14:paraId="05D1B5DD" w14:textId="77777777" w:rsidR="007E3836" w:rsidRDefault="00000000">
            <w:pPr>
              <w:spacing w:after="40" w:line="245" w:lineRule="auto"/>
            </w:pPr>
            <w:r>
              <w:rPr>
                <w:sz w:val="17"/>
              </w:rPr>
              <w:t>Large-load forecasts can increase obligations before new supply arrives.</w:t>
            </w:r>
          </w:p>
        </w:tc>
      </w:tr>
      <w:tr w:rsidR="007E3836" w14:paraId="10329CE1" w14:textId="77777777">
        <w:trPr>
          <w:cantSplit/>
          <w:jc w:val="center"/>
        </w:trPr>
        <w:tc>
          <w:tcPr>
            <w:tcW w:w="2232" w:type="dxa"/>
            <w:shd w:val="clear" w:color="auto" w:fill="F7F9FA"/>
            <w:tcMar>
              <w:top w:w="100" w:type="dxa"/>
              <w:left w:w="120" w:type="dxa"/>
              <w:bottom w:w="100" w:type="dxa"/>
              <w:right w:w="120" w:type="dxa"/>
            </w:tcMar>
            <w:vAlign w:val="center"/>
          </w:tcPr>
          <w:p w14:paraId="36AFD96D" w14:textId="77777777" w:rsidR="007E3836" w:rsidRDefault="00000000">
            <w:pPr>
              <w:spacing w:after="40" w:line="245" w:lineRule="auto"/>
            </w:pPr>
            <w:r>
              <w:rPr>
                <w:sz w:val="17"/>
              </w:rPr>
              <w:t>Reliability studies</w:t>
            </w:r>
          </w:p>
        </w:tc>
        <w:tc>
          <w:tcPr>
            <w:tcW w:w="3816" w:type="dxa"/>
            <w:shd w:val="clear" w:color="auto" w:fill="F7F9FA"/>
            <w:tcMar>
              <w:top w:w="100" w:type="dxa"/>
              <w:left w:w="120" w:type="dxa"/>
              <w:bottom w:w="100" w:type="dxa"/>
              <w:right w:w="120" w:type="dxa"/>
            </w:tcMar>
            <w:vAlign w:val="center"/>
          </w:tcPr>
          <w:p w14:paraId="13350723" w14:textId="77777777" w:rsidR="007E3836" w:rsidRDefault="00000000">
            <w:pPr>
              <w:spacing w:after="40" w:line="245" w:lineRule="auto"/>
            </w:pPr>
            <w:r>
              <w:rPr>
                <w:sz w:val="17"/>
              </w:rPr>
              <w:t>MISO evaluates reserve needs and loss-of-load risk.</w:t>
            </w:r>
          </w:p>
        </w:tc>
        <w:tc>
          <w:tcPr>
            <w:tcW w:w="3744" w:type="dxa"/>
            <w:shd w:val="clear" w:color="auto" w:fill="F7F9FA"/>
            <w:tcMar>
              <w:top w:w="100" w:type="dxa"/>
              <w:left w:w="120" w:type="dxa"/>
              <w:bottom w:w="100" w:type="dxa"/>
              <w:right w:w="120" w:type="dxa"/>
            </w:tcMar>
            <w:vAlign w:val="center"/>
          </w:tcPr>
          <w:p w14:paraId="745F89B3" w14:textId="77777777" w:rsidR="007E3836" w:rsidRDefault="00000000">
            <w:pPr>
              <w:spacing w:after="40" w:line="245" w:lineRule="auto"/>
            </w:pPr>
            <w:r>
              <w:rPr>
                <w:sz w:val="17"/>
              </w:rPr>
              <w:t>The standard is probabilistic, not “zero risk.”</w:t>
            </w:r>
          </w:p>
        </w:tc>
      </w:tr>
      <w:tr w:rsidR="007E3836" w14:paraId="0002D86A" w14:textId="77777777">
        <w:trPr>
          <w:cantSplit/>
          <w:jc w:val="center"/>
        </w:trPr>
        <w:tc>
          <w:tcPr>
            <w:tcW w:w="2232" w:type="dxa"/>
            <w:tcMar>
              <w:top w:w="100" w:type="dxa"/>
              <w:left w:w="120" w:type="dxa"/>
              <w:bottom w:w="100" w:type="dxa"/>
              <w:right w:w="120" w:type="dxa"/>
            </w:tcMar>
            <w:vAlign w:val="center"/>
          </w:tcPr>
          <w:p w14:paraId="00B9192B" w14:textId="77777777" w:rsidR="007E3836" w:rsidRDefault="00000000">
            <w:pPr>
              <w:spacing w:after="40" w:line="245" w:lineRule="auto"/>
            </w:pPr>
            <w:r>
              <w:rPr>
                <w:sz w:val="17"/>
              </w:rPr>
              <w:t>Accreditation</w:t>
            </w:r>
          </w:p>
        </w:tc>
        <w:tc>
          <w:tcPr>
            <w:tcW w:w="3816" w:type="dxa"/>
            <w:tcMar>
              <w:top w:w="100" w:type="dxa"/>
              <w:left w:w="120" w:type="dxa"/>
              <w:bottom w:w="100" w:type="dxa"/>
              <w:right w:w="120" w:type="dxa"/>
            </w:tcMar>
            <w:vAlign w:val="center"/>
          </w:tcPr>
          <w:p w14:paraId="5807274A" w14:textId="77777777" w:rsidR="007E3836" w:rsidRDefault="00000000">
            <w:pPr>
              <w:spacing w:after="40" w:line="245" w:lineRule="auto"/>
            </w:pPr>
            <w:r>
              <w:rPr>
                <w:sz w:val="17"/>
              </w:rPr>
              <w:t>Resources receive seasonal capacity values based on applicable rules and performance.</w:t>
            </w:r>
          </w:p>
        </w:tc>
        <w:tc>
          <w:tcPr>
            <w:tcW w:w="3744" w:type="dxa"/>
            <w:tcMar>
              <w:top w:w="100" w:type="dxa"/>
              <w:left w:w="120" w:type="dxa"/>
              <w:bottom w:w="100" w:type="dxa"/>
              <w:right w:w="120" w:type="dxa"/>
            </w:tcMar>
            <w:vAlign w:val="center"/>
          </w:tcPr>
          <w:p w14:paraId="257B2338" w14:textId="77777777" w:rsidR="007E3836" w:rsidRDefault="00000000">
            <w:pPr>
              <w:spacing w:after="40" w:line="245" w:lineRule="auto"/>
            </w:pPr>
            <w:r>
              <w:rPr>
                <w:sz w:val="17"/>
              </w:rPr>
              <w:t>Technology and availability affect what counts.</w:t>
            </w:r>
          </w:p>
        </w:tc>
      </w:tr>
      <w:tr w:rsidR="007E3836" w14:paraId="099409A4" w14:textId="77777777">
        <w:trPr>
          <w:cantSplit/>
          <w:jc w:val="center"/>
        </w:trPr>
        <w:tc>
          <w:tcPr>
            <w:tcW w:w="2232" w:type="dxa"/>
            <w:shd w:val="clear" w:color="auto" w:fill="F7F9FA"/>
            <w:tcMar>
              <w:top w:w="100" w:type="dxa"/>
              <w:left w:w="120" w:type="dxa"/>
              <w:bottom w:w="100" w:type="dxa"/>
              <w:right w:w="120" w:type="dxa"/>
            </w:tcMar>
            <w:vAlign w:val="center"/>
          </w:tcPr>
          <w:p w14:paraId="08350F69" w14:textId="77777777" w:rsidR="007E3836" w:rsidRDefault="00000000">
            <w:pPr>
              <w:spacing w:after="40" w:line="245" w:lineRule="auto"/>
            </w:pPr>
            <w:r>
              <w:rPr>
                <w:sz w:val="17"/>
              </w:rPr>
              <w:t>Bilateral/self-supply decisions</w:t>
            </w:r>
          </w:p>
        </w:tc>
        <w:tc>
          <w:tcPr>
            <w:tcW w:w="3816" w:type="dxa"/>
            <w:shd w:val="clear" w:color="auto" w:fill="F7F9FA"/>
            <w:tcMar>
              <w:top w:w="100" w:type="dxa"/>
              <w:left w:w="120" w:type="dxa"/>
              <w:bottom w:w="100" w:type="dxa"/>
              <w:right w:w="120" w:type="dxa"/>
            </w:tcMar>
            <w:vAlign w:val="center"/>
          </w:tcPr>
          <w:p w14:paraId="769CEBC3" w14:textId="77777777" w:rsidR="007E3836" w:rsidRDefault="00000000">
            <w:pPr>
              <w:spacing w:after="40" w:line="245" w:lineRule="auto"/>
            </w:pPr>
            <w:r>
              <w:rPr>
                <w:sz w:val="17"/>
              </w:rPr>
              <w:t>LSEs may secure capacity before the auction or self-supply.</w:t>
            </w:r>
          </w:p>
        </w:tc>
        <w:tc>
          <w:tcPr>
            <w:tcW w:w="3744" w:type="dxa"/>
            <w:shd w:val="clear" w:color="auto" w:fill="F7F9FA"/>
            <w:tcMar>
              <w:top w:w="100" w:type="dxa"/>
              <w:left w:w="120" w:type="dxa"/>
              <w:bottom w:w="100" w:type="dxa"/>
              <w:right w:w="120" w:type="dxa"/>
            </w:tcMar>
            <w:vAlign w:val="center"/>
          </w:tcPr>
          <w:p w14:paraId="7D0D7D7C" w14:textId="77777777" w:rsidR="007E3836" w:rsidRDefault="00000000">
            <w:pPr>
              <w:spacing w:after="40" w:line="245" w:lineRule="auto"/>
            </w:pPr>
            <w:r>
              <w:rPr>
                <w:sz w:val="17"/>
              </w:rPr>
              <w:t>The PRA is not the only procurement pathway.</w:t>
            </w:r>
          </w:p>
        </w:tc>
      </w:tr>
      <w:tr w:rsidR="007E3836" w14:paraId="583ED13D" w14:textId="77777777">
        <w:trPr>
          <w:cantSplit/>
          <w:jc w:val="center"/>
        </w:trPr>
        <w:tc>
          <w:tcPr>
            <w:tcW w:w="2232" w:type="dxa"/>
            <w:tcMar>
              <w:top w:w="100" w:type="dxa"/>
              <w:left w:w="120" w:type="dxa"/>
              <w:bottom w:w="100" w:type="dxa"/>
              <w:right w:w="120" w:type="dxa"/>
            </w:tcMar>
            <w:vAlign w:val="center"/>
          </w:tcPr>
          <w:p w14:paraId="0F429B58" w14:textId="77777777" w:rsidR="007E3836" w:rsidRDefault="00000000">
            <w:pPr>
              <w:spacing w:after="40" w:line="245" w:lineRule="auto"/>
            </w:pPr>
            <w:r>
              <w:rPr>
                <w:sz w:val="17"/>
              </w:rPr>
              <w:t>Planning Resource Auction</w:t>
            </w:r>
          </w:p>
        </w:tc>
        <w:tc>
          <w:tcPr>
            <w:tcW w:w="3816" w:type="dxa"/>
            <w:tcMar>
              <w:top w:w="100" w:type="dxa"/>
              <w:left w:w="120" w:type="dxa"/>
              <w:bottom w:w="100" w:type="dxa"/>
              <w:right w:w="120" w:type="dxa"/>
            </w:tcMar>
            <w:vAlign w:val="center"/>
          </w:tcPr>
          <w:p w14:paraId="094E2C61" w14:textId="77777777" w:rsidR="007E3836" w:rsidRDefault="00000000">
            <w:pPr>
              <w:spacing w:after="40" w:line="245" w:lineRule="auto"/>
            </w:pPr>
            <w:r>
              <w:rPr>
                <w:sz w:val="17"/>
              </w:rPr>
              <w:t>Offers and requirements clear by season and zone.</w:t>
            </w:r>
          </w:p>
        </w:tc>
        <w:tc>
          <w:tcPr>
            <w:tcW w:w="3744" w:type="dxa"/>
            <w:tcMar>
              <w:top w:w="100" w:type="dxa"/>
              <w:left w:w="120" w:type="dxa"/>
              <w:bottom w:w="100" w:type="dxa"/>
              <w:right w:w="120" w:type="dxa"/>
            </w:tcMar>
            <w:vAlign w:val="center"/>
          </w:tcPr>
          <w:p w14:paraId="17093B90" w14:textId="77777777" w:rsidR="007E3836" w:rsidRDefault="00000000">
            <w:pPr>
              <w:spacing w:after="40" w:line="245" w:lineRule="auto"/>
            </w:pPr>
            <w:r>
              <w:rPr>
                <w:sz w:val="17"/>
              </w:rPr>
              <w:t>Prices reveal scarcity and transmission limitations, but are not a complete long-term development contract.</w:t>
            </w:r>
          </w:p>
        </w:tc>
      </w:tr>
      <w:tr w:rsidR="007E3836" w14:paraId="3921889C" w14:textId="77777777">
        <w:trPr>
          <w:cantSplit/>
          <w:jc w:val="center"/>
        </w:trPr>
        <w:tc>
          <w:tcPr>
            <w:tcW w:w="2232" w:type="dxa"/>
            <w:shd w:val="clear" w:color="auto" w:fill="F7F9FA"/>
            <w:tcMar>
              <w:top w:w="100" w:type="dxa"/>
              <w:left w:w="120" w:type="dxa"/>
              <w:bottom w:w="100" w:type="dxa"/>
              <w:right w:w="120" w:type="dxa"/>
            </w:tcMar>
            <w:vAlign w:val="center"/>
          </w:tcPr>
          <w:p w14:paraId="7CEDE766" w14:textId="77777777" w:rsidR="007E3836" w:rsidRDefault="00000000">
            <w:pPr>
              <w:spacing w:after="40" w:line="245" w:lineRule="auto"/>
            </w:pPr>
            <w:r>
              <w:rPr>
                <w:sz w:val="17"/>
              </w:rPr>
              <w:t>Seasonal assessment and operations</w:t>
            </w:r>
          </w:p>
        </w:tc>
        <w:tc>
          <w:tcPr>
            <w:tcW w:w="3816" w:type="dxa"/>
            <w:shd w:val="clear" w:color="auto" w:fill="F7F9FA"/>
            <w:tcMar>
              <w:top w:w="100" w:type="dxa"/>
              <w:left w:w="120" w:type="dxa"/>
              <w:bottom w:w="100" w:type="dxa"/>
              <w:right w:w="120" w:type="dxa"/>
            </w:tcMar>
            <w:vAlign w:val="center"/>
          </w:tcPr>
          <w:p w14:paraId="4DD336E1" w14:textId="77777777" w:rsidR="007E3836" w:rsidRDefault="00000000">
            <w:pPr>
              <w:spacing w:after="40" w:line="245" w:lineRule="auto"/>
            </w:pPr>
            <w:r>
              <w:rPr>
                <w:sz w:val="17"/>
              </w:rPr>
              <w:t>MISO reassesses risk as weather, outages, imports, and load evolve.</w:t>
            </w:r>
          </w:p>
        </w:tc>
        <w:tc>
          <w:tcPr>
            <w:tcW w:w="3744" w:type="dxa"/>
            <w:shd w:val="clear" w:color="auto" w:fill="F7F9FA"/>
            <w:tcMar>
              <w:top w:w="100" w:type="dxa"/>
              <w:left w:w="120" w:type="dxa"/>
              <w:bottom w:w="100" w:type="dxa"/>
              <w:right w:w="120" w:type="dxa"/>
            </w:tcMar>
            <w:vAlign w:val="center"/>
          </w:tcPr>
          <w:p w14:paraId="3AED3546" w14:textId="77777777" w:rsidR="007E3836" w:rsidRDefault="00000000">
            <w:pPr>
              <w:spacing w:after="40" w:line="245" w:lineRule="auto"/>
            </w:pPr>
            <w:r>
              <w:rPr>
                <w:sz w:val="17"/>
              </w:rPr>
              <w:t>Planning adequacy does not eliminate operational emergencies.</w:t>
            </w:r>
          </w:p>
        </w:tc>
      </w:tr>
    </w:tbl>
    <w:p w14:paraId="56829BC4" w14:textId="77777777" w:rsidR="007E3836" w:rsidRDefault="007E3836">
      <w:pPr>
        <w:spacing w:after="20"/>
      </w:pPr>
    </w:p>
    <w:tbl>
      <w:tblPr>
        <w:tblW w:w="0" w:type="auto"/>
        <w:jc w:val="center"/>
        <w:tblLayout w:type="fixed"/>
        <w:tblLook w:val="04A0" w:firstRow="1" w:lastRow="0" w:firstColumn="1" w:lastColumn="0" w:noHBand="0" w:noVBand="1"/>
      </w:tblPr>
      <w:tblGrid>
        <w:gridCol w:w="9936"/>
      </w:tblGrid>
      <w:tr w:rsidR="007E3836" w14:paraId="3E5CA292" w14:textId="77777777">
        <w:trPr>
          <w:jc w:val="center"/>
        </w:trPr>
        <w:tc>
          <w:tcPr>
            <w:tcW w:w="9936" w:type="dxa"/>
            <w:shd w:val="clear" w:color="auto" w:fill="EAF2F8"/>
            <w:tcMar>
              <w:top w:w="150" w:type="dxa"/>
              <w:left w:w="180" w:type="dxa"/>
              <w:bottom w:w="150" w:type="dxa"/>
              <w:right w:w="180" w:type="dxa"/>
            </w:tcMar>
          </w:tcPr>
          <w:p w14:paraId="6B9E98E6" w14:textId="77777777" w:rsidR="007E3836" w:rsidRDefault="00000000">
            <w:pPr>
              <w:spacing w:after="40" w:line="245" w:lineRule="auto"/>
            </w:pPr>
            <w:r>
              <w:rPr>
                <w:b/>
                <w:color w:val="17365D"/>
                <w:sz w:val="22"/>
              </w:rPr>
              <w:t>Important distinction</w:t>
            </w:r>
            <w:r>
              <w:rPr>
                <w:b/>
                <w:color w:val="17365D"/>
                <w:sz w:val="22"/>
              </w:rPr>
              <w:br/>
            </w:r>
            <w:r>
              <w:rPr>
                <w:sz w:val="19"/>
              </w:rPr>
              <w:t>The interconnection cycle asks whether and how a resource can connect. The resource-adequacy cycle asks how much dependable capacity counts and whether enough capacity is available. A project can advance in one cycle while remaining uncertain in the other.</w:t>
            </w:r>
          </w:p>
        </w:tc>
      </w:tr>
    </w:tbl>
    <w:p w14:paraId="02D58DFD" w14:textId="77777777" w:rsidR="007E3836" w:rsidRDefault="007E3836">
      <w:pPr>
        <w:spacing w:after="20"/>
      </w:pPr>
    </w:p>
    <w:p w14:paraId="55B4D94F" w14:textId="77777777" w:rsidR="007E3836" w:rsidRDefault="00000000">
      <w:pPr>
        <w:pStyle w:val="Heading2"/>
      </w:pPr>
      <w:r>
        <w:t>Cycle E: Policy, Regulation, and Cost Recovery</w:t>
      </w:r>
    </w:p>
    <w:p w14:paraId="16018099" w14:textId="77777777" w:rsidR="007E3836" w:rsidRDefault="00000000">
      <w:pPr>
        <w:pStyle w:val="ListBullet"/>
      </w:pPr>
      <w:r>
        <w:t>State policy defines permissible ownership, procurement, emissions pathways, siting authority, and customer protections.</w:t>
      </w:r>
    </w:p>
    <w:p w14:paraId="52AF3058" w14:textId="77777777" w:rsidR="007E3836" w:rsidRDefault="00000000">
      <w:pPr>
        <w:pStyle w:val="ListBullet"/>
      </w:pPr>
      <w:r>
        <w:t>Regulators determine which costs may be recovered and how risk is allocated among customers, shareholders, developers, and large-load customers.</w:t>
      </w:r>
    </w:p>
    <w:p w14:paraId="25DE73BE" w14:textId="77777777" w:rsidR="007E3836" w:rsidRDefault="00000000">
      <w:pPr>
        <w:pStyle w:val="ListBullet"/>
      </w:pPr>
      <w:r>
        <w:t>Tariffs translate policy into service terms, contribution requirements, security, ramp milestones, and exit protections.</w:t>
      </w:r>
    </w:p>
    <w:p w14:paraId="620AF658" w14:textId="77777777" w:rsidR="007E3836" w:rsidRDefault="00000000">
      <w:pPr>
        <w:pStyle w:val="ListBullet"/>
      </w:pPr>
      <w:r>
        <w:t>Legislation may be needed when existing authority cannot coordinate generation, large-load commitments, long-term procurement, or reliability mitigation.</w:t>
      </w:r>
    </w:p>
    <w:p w14:paraId="59998242" w14:textId="77777777" w:rsidR="007E3836" w:rsidRDefault="00000000">
      <w:pPr>
        <w:pStyle w:val="ListBullet"/>
      </w:pPr>
      <w:r>
        <w:t>Political timing rarely matches construction timing. Credible strategy begins before a crisis or filing deadline.</w:t>
      </w:r>
    </w:p>
    <w:p w14:paraId="7126F437" w14:textId="77777777" w:rsidR="007E3836" w:rsidRDefault="00000000">
      <w:r>
        <w:br w:type="page"/>
      </w:r>
    </w:p>
    <w:p w14:paraId="7E73E4CD" w14:textId="77777777" w:rsidR="007E3836" w:rsidRDefault="00000000">
      <w:pPr>
        <w:pStyle w:val="Heading1"/>
      </w:pPr>
      <w:r>
        <w:lastRenderedPageBreak/>
        <w:t>3. ERAS in Depth</w:t>
      </w:r>
    </w:p>
    <w:p w14:paraId="3F1D925F" w14:textId="77777777" w:rsidR="007E3836" w:rsidRDefault="00000000">
      <w:pPr>
        <w:pStyle w:val="Heading2"/>
      </w:pPr>
      <w:r>
        <w:t>Eligibility Logic</w:t>
      </w:r>
    </w:p>
    <w:p w14:paraId="6C8510C3" w14:textId="77777777" w:rsidR="007E3836" w:rsidRDefault="00000000">
      <w:r>
        <w:t>MISO’s published materials identify ERAS as a pathway for resources tied to a demonstrated reliability need, including a verified new load addition or resource-adequacy deficiency. Public descriptions indicate that the relevant electric retail regulatory authority, or RERRA, verifies the need; interconnection service is limited relative to the verified need and tied to the same Local Resource Zone; and projects must meet a defined commercial-operation window. The controlling tariff and current MISO guidance should be checked for any transaction. [1][5]</w:t>
      </w:r>
    </w:p>
    <w:p w14:paraId="47E10944" w14:textId="77777777" w:rsidR="007E3836" w:rsidRDefault="00000000">
      <w:pPr>
        <w:pStyle w:val="Heading2"/>
      </w:pPr>
      <w:r>
        <w:t>A Practical ERAS Sequence</w:t>
      </w:r>
    </w:p>
    <w:tbl>
      <w:tblPr>
        <w:tblStyle w:val="TableGrid"/>
        <w:tblW w:w="0" w:type="auto"/>
        <w:jc w:val="center"/>
        <w:tblLayout w:type="fixed"/>
        <w:tblLook w:val="04A0" w:firstRow="1" w:lastRow="0" w:firstColumn="1" w:lastColumn="0" w:noHBand="0" w:noVBand="1"/>
      </w:tblPr>
      <w:tblGrid>
        <w:gridCol w:w="1800"/>
        <w:gridCol w:w="3960"/>
        <w:gridCol w:w="4032"/>
      </w:tblGrid>
      <w:tr w:rsidR="007E3836" w14:paraId="230B4431" w14:textId="77777777">
        <w:trPr>
          <w:tblHeader/>
          <w:jc w:val="center"/>
        </w:trPr>
        <w:tc>
          <w:tcPr>
            <w:tcW w:w="1800" w:type="dxa"/>
            <w:shd w:val="clear" w:color="auto" w:fill="17365D"/>
            <w:tcMar>
              <w:top w:w="100" w:type="dxa"/>
              <w:left w:w="120" w:type="dxa"/>
              <w:bottom w:w="100" w:type="dxa"/>
              <w:right w:w="120" w:type="dxa"/>
            </w:tcMar>
            <w:vAlign w:val="center"/>
          </w:tcPr>
          <w:p w14:paraId="1F2D5C6F" w14:textId="77777777" w:rsidR="007E3836" w:rsidRDefault="00000000">
            <w:pPr>
              <w:spacing w:after="40" w:line="245" w:lineRule="auto"/>
            </w:pPr>
            <w:r>
              <w:rPr>
                <w:b/>
                <w:color w:val="FFFFFF"/>
                <w:sz w:val="17"/>
              </w:rPr>
              <w:t>Step</w:t>
            </w:r>
          </w:p>
        </w:tc>
        <w:tc>
          <w:tcPr>
            <w:tcW w:w="3960" w:type="dxa"/>
            <w:shd w:val="clear" w:color="auto" w:fill="17365D"/>
            <w:tcMar>
              <w:top w:w="100" w:type="dxa"/>
              <w:left w:w="120" w:type="dxa"/>
              <w:bottom w:w="100" w:type="dxa"/>
              <w:right w:w="120" w:type="dxa"/>
            </w:tcMar>
            <w:vAlign w:val="center"/>
          </w:tcPr>
          <w:p w14:paraId="2A3FC2ED" w14:textId="77777777" w:rsidR="007E3836" w:rsidRDefault="00000000">
            <w:pPr>
              <w:spacing w:after="40" w:line="245" w:lineRule="auto"/>
            </w:pPr>
            <w:r>
              <w:rPr>
                <w:b/>
                <w:color w:val="FFFFFF"/>
                <w:sz w:val="17"/>
              </w:rPr>
              <w:t>What must align</w:t>
            </w:r>
          </w:p>
        </w:tc>
        <w:tc>
          <w:tcPr>
            <w:tcW w:w="4032" w:type="dxa"/>
            <w:shd w:val="clear" w:color="auto" w:fill="17365D"/>
            <w:tcMar>
              <w:top w:w="100" w:type="dxa"/>
              <w:left w:w="120" w:type="dxa"/>
              <w:bottom w:w="100" w:type="dxa"/>
              <w:right w:w="120" w:type="dxa"/>
            </w:tcMar>
            <w:vAlign w:val="center"/>
          </w:tcPr>
          <w:p w14:paraId="6B25C534" w14:textId="77777777" w:rsidR="007E3836" w:rsidRDefault="00000000">
            <w:pPr>
              <w:spacing w:after="40" w:line="245" w:lineRule="auto"/>
            </w:pPr>
            <w:r>
              <w:rPr>
                <w:b/>
                <w:color w:val="FFFFFF"/>
                <w:sz w:val="17"/>
              </w:rPr>
              <w:t>Failure mode to watch</w:t>
            </w:r>
          </w:p>
        </w:tc>
      </w:tr>
      <w:tr w:rsidR="007E3836" w14:paraId="5B3BDE94" w14:textId="77777777">
        <w:trPr>
          <w:cantSplit/>
          <w:jc w:val="center"/>
        </w:trPr>
        <w:tc>
          <w:tcPr>
            <w:tcW w:w="1800" w:type="dxa"/>
            <w:tcMar>
              <w:top w:w="100" w:type="dxa"/>
              <w:left w:w="120" w:type="dxa"/>
              <w:bottom w:w="100" w:type="dxa"/>
              <w:right w:w="120" w:type="dxa"/>
            </w:tcMar>
            <w:vAlign w:val="center"/>
          </w:tcPr>
          <w:p w14:paraId="0243DFA6" w14:textId="77777777" w:rsidR="007E3836" w:rsidRDefault="00000000">
            <w:pPr>
              <w:spacing w:after="40" w:line="245" w:lineRule="auto"/>
            </w:pPr>
            <w:r>
              <w:rPr>
                <w:sz w:val="17"/>
              </w:rPr>
              <w:t>1. Establish need</w:t>
            </w:r>
          </w:p>
        </w:tc>
        <w:tc>
          <w:tcPr>
            <w:tcW w:w="3960" w:type="dxa"/>
            <w:tcMar>
              <w:top w:w="100" w:type="dxa"/>
              <w:left w:w="120" w:type="dxa"/>
              <w:bottom w:w="100" w:type="dxa"/>
              <w:right w:w="120" w:type="dxa"/>
            </w:tcMar>
            <w:vAlign w:val="center"/>
          </w:tcPr>
          <w:p w14:paraId="00E7A09A" w14:textId="77777777" w:rsidR="007E3836" w:rsidRDefault="00000000">
            <w:pPr>
              <w:spacing w:after="40" w:line="245" w:lineRule="auto"/>
            </w:pPr>
            <w:r>
              <w:rPr>
                <w:sz w:val="17"/>
              </w:rPr>
              <w:t>Forecast, location, timing, magnitude, and regulatory verification.</w:t>
            </w:r>
          </w:p>
        </w:tc>
        <w:tc>
          <w:tcPr>
            <w:tcW w:w="4032" w:type="dxa"/>
            <w:tcMar>
              <w:top w:w="100" w:type="dxa"/>
              <w:left w:w="120" w:type="dxa"/>
              <w:bottom w:w="100" w:type="dxa"/>
              <w:right w:w="120" w:type="dxa"/>
            </w:tcMar>
            <w:vAlign w:val="center"/>
          </w:tcPr>
          <w:p w14:paraId="5108D763" w14:textId="77777777" w:rsidR="007E3836" w:rsidRDefault="00000000">
            <w:pPr>
              <w:spacing w:after="40" w:line="245" w:lineRule="auto"/>
            </w:pPr>
            <w:r>
              <w:rPr>
                <w:sz w:val="17"/>
              </w:rPr>
              <w:t>Speculative or changing load.</w:t>
            </w:r>
          </w:p>
        </w:tc>
      </w:tr>
      <w:tr w:rsidR="007E3836" w14:paraId="2FB790C6" w14:textId="77777777">
        <w:trPr>
          <w:cantSplit/>
          <w:jc w:val="center"/>
        </w:trPr>
        <w:tc>
          <w:tcPr>
            <w:tcW w:w="1800" w:type="dxa"/>
            <w:shd w:val="clear" w:color="auto" w:fill="F7F9FA"/>
            <w:tcMar>
              <w:top w:w="100" w:type="dxa"/>
              <w:left w:w="120" w:type="dxa"/>
              <w:bottom w:w="100" w:type="dxa"/>
              <w:right w:w="120" w:type="dxa"/>
            </w:tcMar>
            <w:vAlign w:val="center"/>
          </w:tcPr>
          <w:p w14:paraId="22D6B6E6" w14:textId="77777777" w:rsidR="007E3836" w:rsidRDefault="00000000">
            <w:pPr>
              <w:spacing w:after="40" w:line="245" w:lineRule="auto"/>
            </w:pPr>
            <w:r>
              <w:rPr>
                <w:sz w:val="17"/>
              </w:rPr>
              <w:t>2. Match resource</w:t>
            </w:r>
          </w:p>
        </w:tc>
        <w:tc>
          <w:tcPr>
            <w:tcW w:w="3960" w:type="dxa"/>
            <w:shd w:val="clear" w:color="auto" w:fill="F7F9FA"/>
            <w:tcMar>
              <w:top w:w="100" w:type="dxa"/>
              <w:left w:w="120" w:type="dxa"/>
              <w:bottom w:w="100" w:type="dxa"/>
              <w:right w:w="120" w:type="dxa"/>
            </w:tcMar>
            <w:vAlign w:val="center"/>
          </w:tcPr>
          <w:p w14:paraId="223354F2" w14:textId="77777777" w:rsidR="007E3836" w:rsidRDefault="00000000">
            <w:pPr>
              <w:spacing w:after="40" w:line="245" w:lineRule="auto"/>
            </w:pPr>
            <w:r>
              <w:rPr>
                <w:sz w:val="17"/>
              </w:rPr>
              <w:t>Technology, size, location, operating profile, and development maturity.</w:t>
            </w:r>
          </w:p>
        </w:tc>
        <w:tc>
          <w:tcPr>
            <w:tcW w:w="4032" w:type="dxa"/>
            <w:shd w:val="clear" w:color="auto" w:fill="F7F9FA"/>
            <w:tcMar>
              <w:top w:w="100" w:type="dxa"/>
              <w:left w:w="120" w:type="dxa"/>
              <w:bottom w:w="100" w:type="dxa"/>
              <w:right w:w="120" w:type="dxa"/>
            </w:tcMar>
            <w:vAlign w:val="center"/>
          </w:tcPr>
          <w:p w14:paraId="264E9504" w14:textId="77777777" w:rsidR="007E3836" w:rsidRDefault="00000000">
            <w:pPr>
              <w:spacing w:after="40" w:line="245" w:lineRule="auto"/>
            </w:pPr>
            <w:r>
              <w:rPr>
                <w:sz w:val="17"/>
              </w:rPr>
              <w:t>A resource that is quick to study but slow to permit or fuel.</w:t>
            </w:r>
          </w:p>
        </w:tc>
      </w:tr>
      <w:tr w:rsidR="007E3836" w14:paraId="71370295" w14:textId="77777777">
        <w:trPr>
          <w:cantSplit/>
          <w:jc w:val="center"/>
        </w:trPr>
        <w:tc>
          <w:tcPr>
            <w:tcW w:w="1800" w:type="dxa"/>
            <w:tcMar>
              <w:top w:w="100" w:type="dxa"/>
              <w:left w:w="120" w:type="dxa"/>
              <w:bottom w:w="100" w:type="dxa"/>
              <w:right w:w="120" w:type="dxa"/>
            </w:tcMar>
            <w:vAlign w:val="center"/>
          </w:tcPr>
          <w:p w14:paraId="3039B8FF" w14:textId="77777777" w:rsidR="007E3836" w:rsidRDefault="00000000">
            <w:pPr>
              <w:spacing w:after="40" w:line="245" w:lineRule="auto"/>
            </w:pPr>
            <w:r>
              <w:rPr>
                <w:sz w:val="17"/>
              </w:rPr>
              <w:t>3. Assemble application</w:t>
            </w:r>
          </w:p>
        </w:tc>
        <w:tc>
          <w:tcPr>
            <w:tcW w:w="3960" w:type="dxa"/>
            <w:tcMar>
              <w:top w:w="100" w:type="dxa"/>
              <w:left w:w="120" w:type="dxa"/>
              <w:bottom w:w="100" w:type="dxa"/>
              <w:right w:w="120" w:type="dxa"/>
            </w:tcMar>
            <w:vAlign w:val="center"/>
          </w:tcPr>
          <w:p w14:paraId="317AE9E7" w14:textId="77777777" w:rsidR="007E3836" w:rsidRDefault="00000000">
            <w:pPr>
              <w:spacing w:after="40" w:line="245" w:lineRule="auto"/>
            </w:pPr>
            <w:r>
              <w:rPr>
                <w:sz w:val="17"/>
              </w:rPr>
              <w:t>Technical data, site readiness, commercial documents, and required verification.</w:t>
            </w:r>
          </w:p>
        </w:tc>
        <w:tc>
          <w:tcPr>
            <w:tcW w:w="4032" w:type="dxa"/>
            <w:tcMar>
              <w:top w:w="100" w:type="dxa"/>
              <w:left w:w="120" w:type="dxa"/>
              <w:bottom w:w="100" w:type="dxa"/>
              <w:right w:w="120" w:type="dxa"/>
            </w:tcMar>
            <w:vAlign w:val="center"/>
          </w:tcPr>
          <w:p w14:paraId="536BFF89" w14:textId="77777777" w:rsidR="007E3836" w:rsidRDefault="00000000">
            <w:pPr>
              <w:spacing w:after="40" w:line="245" w:lineRule="auto"/>
            </w:pPr>
            <w:r>
              <w:rPr>
                <w:sz w:val="17"/>
              </w:rPr>
              <w:t>Incomplete or inconsistent assumptions.</w:t>
            </w:r>
          </w:p>
        </w:tc>
      </w:tr>
      <w:tr w:rsidR="007E3836" w14:paraId="6DE988FC" w14:textId="77777777">
        <w:trPr>
          <w:cantSplit/>
          <w:jc w:val="center"/>
        </w:trPr>
        <w:tc>
          <w:tcPr>
            <w:tcW w:w="1800" w:type="dxa"/>
            <w:shd w:val="clear" w:color="auto" w:fill="F7F9FA"/>
            <w:tcMar>
              <w:top w:w="100" w:type="dxa"/>
              <w:left w:w="120" w:type="dxa"/>
              <w:bottom w:w="100" w:type="dxa"/>
              <w:right w:w="120" w:type="dxa"/>
            </w:tcMar>
            <w:vAlign w:val="center"/>
          </w:tcPr>
          <w:p w14:paraId="666B09D5" w14:textId="77777777" w:rsidR="007E3836" w:rsidRDefault="00000000">
            <w:pPr>
              <w:spacing w:after="40" w:line="245" w:lineRule="auto"/>
            </w:pPr>
            <w:r>
              <w:rPr>
                <w:sz w:val="17"/>
              </w:rPr>
              <w:t>4. Enter a study cycle</w:t>
            </w:r>
          </w:p>
        </w:tc>
        <w:tc>
          <w:tcPr>
            <w:tcW w:w="3960" w:type="dxa"/>
            <w:shd w:val="clear" w:color="auto" w:fill="F7F9FA"/>
            <w:tcMar>
              <w:top w:w="100" w:type="dxa"/>
              <w:left w:w="120" w:type="dxa"/>
              <w:bottom w:w="100" w:type="dxa"/>
              <w:right w:w="120" w:type="dxa"/>
            </w:tcMar>
            <w:vAlign w:val="center"/>
          </w:tcPr>
          <w:p w14:paraId="33652C63" w14:textId="77777777" w:rsidR="007E3836" w:rsidRDefault="00000000">
            <w:pPr>
              <w:spacing w:after="40" w:line="245" w:lineRule="auto"/>
            </w:pPr>
            <w:r>
              <w:rPr>
                <w:sz w:val="17"/>
              </w:rPr>
              <w:t>Submission timing and MISO sequencing determine cycle placement.</w:t>
            </w:r>
          </w:p>
        </w:tc>
        <w:tc>
          <w:tcPr>
            <w:tcW w:w="4032" w:type="dxa"/>
            <w:shd w:val="clear" w:color="auto" w:fill="F7F9FA"/>
            <w:tcMar>
              <w:top w:w="100" w:type="dxa"/>
              <w:left w:w="120" w:type="dxa"/>
              <w:bottom w:w="100" w:type="dxa"/>
              <w:right w:w="120" w:type="dxa"/>
            </w:tcMar>
            <w:vAlign w:val="center"/>
          </w:tcPr>
          <w:p w14:paraId="4B649D0B" w14:textId="77777777" w:rsidR="007E3836" w:rsidRDefault="00000000">
            <w:pPr>
              <w:spacing w:after="40" w:line="245" w:lineRule="auto"/>
            </w:pPr>
            <w:r>
              <w:rPr>
                <w:sz w:val="17"/>
              </w:rPr>
              <w:t>Missing cutoff or limited program capacity.</w:t>
            </w:r>
          </w:p>
        </w:tc>
      </w:tr>
      <w:tr w:rsidR="007E3836" w14:paraId="750CCE25" w14:textId="77777777">
        <w:trPr>
          <w:cantSplit/>
          <w:jc w:val="center"/>
        </w:trPr>
        <w:tc>
          <w:tcPr>
            <w:tcW w:w="1800" w:type="dxa"/>
            <w:tcMar>
              <w:top w:w="100" w:type="dxa"/>
              <w:left w:w="120" w:type="dxa"/>
              <w:bottom w:w="100" w:type="dxa"/>
              <w:right w:w="120" w:type="dxa"/>
            </w:tcMar>
            <w:vAlign w:val="center"/>
          </w:tcPr>
          <w:p w14:paraId="33390B28" w14:textId="77777777" w:rsidR="007E3836" w:rsidRDefault="00000000">
            <w:pPr>
              <w:spacing w:after="40" w:line="245" w:lineRule="auto"/>
            </w:pPr>
            <w:r>
              <w:rPr>
                <w:sz w:val="17"/>
              </w:rPr>
              <w:t>5. System study</w:t>
            </w:r>
          </w:p>
        </w:tc>
        <w:tc>
          <w:tcPr>
            <w:tcW w:w="3960" w:type="dxa"/>
            <w:tcMar>
              <w:top w:w="100" w:type="dxa"/>
              <w:left w:w="120" w:type="dxa"/>
              <w:bottom w:w="100" w:type="dxa"/>
              <w:right w:w="120" w:type="dxa"/>
            </w:tcMar>
            <w:vAlign w:val="center"/>
          </w:tcPr>
          <w:p w14:paraId="2E6DCEAE" w14:textId="77777777" w:rsidR="007E3836" w:rsidRDefault="00000000">
            <w:pPr>
              <w:spacing w:after="40" w:line="245" w:lineRule="auto"/>
            </w:pPr>
            <w:r>
              <w:rPr>
                <w:sz w:val="17"/>
              </w:rPr>
              <w:t>MISO evaluates impacts, constraints, and required facilities.</w:t>
            </w:r>
          </w:p>
        </w:tc>
        <w:tc>
          <w:tcPr>
            <w:tcW w:w="4032" w:type="dxa"/>
            <w:tcMar>
              <w:top w:w="100" w:type="dxa"/>
              <w:left w:w="120" w:type="dxa"/>
              <w:bottom w:w="100" w:type="dxa"/>
              <w:right w:w="120" w:type="dxa"/>
            </w:tcMar>
            <w:vAlign w:val="center"/>
          </w:tcPr>
          <w:p w14:paraId="459EB82F" w14:textId="77777777" w:rsidR="007E3836" w:rsidRDefault="00000000">
            <w:pPr>
              <w:spacing w:after="40" w:line="245" w:lineRule="auto"/>
            </w:pPr>
            <w:r>
              <w:rPr>
                <w:sz w:val="17"/>
              </w:rPr>
              <w:t>Unexpected network upgrades or affected-system issues.</w:t>
            </w:r>
          </w:p>
        </w:tc>
      </w:tr>
      <w:tr w:rsidR="007E3836" w14:paraId="467E2E9B" w14:textId="77777777">
        <w:trPr>
          <w:cantSplit/>
          <w:jc w:val="center"/>
        </w:trPr>
        <w:tc>
          <w:tcPr>
            <w:tcW w:w="1800" w:type="dxa"/>
            <w:shd w:val="clear" w:color="auto" w:fill="F7F9FA"/>
            <w:tcMar>
              <w:top w:w="100" w:type="dxa"/>
              <w:left w:w="120" w:type="dxa"/>
              <w:bottom w:w="100" w:type="dxa"/>
              <w:right w:w="120" w:type="dxa"/>
            </w:tcMar>
            <w:vAlign w:val="center"/>
          </w:tcPr>
          <w:p w14:paraId="074D50F0" w14:textId="77777777" w:rsidR="007E3836" w:rsidRDefault="00000000">
            <w:pPr>
              <w:spacing w:after="40" w:line="245" w:lineRule="auto"/>
            </w:pPr>
            <w:r>
              <w:rPr>
                <w:sz w:val="17"/>
              </w:rPr>
              <w:t>6. Execute GIA</w:t>
            </w:r>
          </w:p>
        </w:tc>
        <w:tc>
          <w:tcPr>
            <w:tcW w:w="3960" w:type="dxa"/>
            <w:shd w:val="clear" w:color="auto" w:fill="F7F9FA"/>
            <w:tcMar>
              <w:top w:w="100" w:type="dxa"/>
              <w:left w:w="120" w:type="dxa"/>
              <w:bottom w:w="100" w:type="dxa"/>
              <w:right w:w="120" w:type="dxa"/>
            </w:tcMar>
            <w:vAlign w:val="center"/>
          </w:tcPr>
          <w:p w14:paraId="3C26C574" w14:textId="77777777" w:rsidR="007E3836" w:rsidRDefault="00000000">
            <w:pPr>
              <w:spacing w:after="40" w:line="245" w:lineRule="auto"/>
            </w:pPr>
            <w:r>
              <w:rPr>
                <w:sz w:val="17"/>
              </w:rPr>
              <w:t>Parties accept responsibilities, milestones, and costs.</w:t>
            </w:r>
          </w:p>
        </w:tc>
        <w:tc>
          <w:tcPr>
            <w:tcW w:w="4032" w:type="dxa"/>
            <w:shd w:val="clear" w:color="auto" w:fill="F7F9FA"/>
            <w:tcMar>
              <w:top w:w="100" w:type="dxa"/>
              <w:left w:w="120" w:type="dxa"/>
              <w:bottom w:w="100" w:type="dxa"/>
              <w:right w:w="120" w:type="dxa"/>
            </w:tcMar>
            <w:vAlign w:val="center"/>
          </w:tcPr>
          <w:p w14:paraId="3671CACF" w14:textId="77777777" w:rsidR="007E3836" w:rsidRDefault="00000000">
            <w:pPr>
              <w:spacing w:after="40" w:line="245" w:lineRule="auto"/>
            </w:pPr>
            <w:r>
              <w:rPr>
                <w:sz w:val="17"/>
              </w:rPr>
              <w:t>Agreement without financeable risk allocation.</w:t>
            </w:r>
          </w:p>
        </w:tc>
      </w:tr>
      <w:tr w:rsidR="007E3836" w14:paraId="314658F6" w14:textId="77777777">
        <w:trPr>
          <w:cantSplit/>
          <w:jc w:val="center"/>
        </w:trPr>
        <w:tc>
          <w:tcPr>
            <w:tcW w:w="1800" w:type="dxa"/>
            <w:tcMar>
              <w:top w:w="100" w:type="dxa"/>
              <w:left w:w="120" w:type="dxa"/>
              <w:bottom w:w="100" w:type="dxa"/>
              <w:right w:w="120" w:type="dxa"/>
            </w:tcMar>
            <w:vAlign w:val="center"/>
          </w:tcPr>
          <w:p w14:paraId="71CECE1E" w14:textId="77777777" w:rsidR="007E3836" w:rsidRDefault="00000000">
            <w:pPr>
              <w:spacing w:after="40" w:line="245" w:lineRule="auto"/>
            </w:pPr>
            <w:r>
              <w:rPr>
                <w:sz w:val="17"/>
              </w:rPr>
              <w:t>7. Build in parallel</w:t>
            </w:r>
          </w:p>
        </w:tc>
        <w:tc>
          <w:tcPr>
            <w:tcW w:w="3960" w:type="dxa"/>
            <w:tcMar>
              <w:top w:w="100" w:type="dxa"/>
              <w:left w:w="120" w:type="dxa"/>
              <w:bottom w:w="100" w:type="dxa"/>
              <w:right w:w="120" w:type="dxa"/>
            </w:tcMar>
            <w:vAlign w:val="center"/>
          </w:tcPr>
          <w:p w14:paraId="25C63EA0" w14:textId="77777777" w:rsidR="007E3836" w:rsidRDefault="00000000">
            <w:pPr>
              <w:spacing w:after="40" w:line="245" w:lineRule="auto"/>
            </w:pPr>
            <w:r>
              <w:rPr>
                <w:sz w:val="17"/>
              </w:rPr>
              <w:t>Generation, interconnection facilities, network upgrades, permits, and fuel advance.</w:t>
            </w:r>
          </w:p>
        </w:tc>
        <w:tc>
          <w:tcPr>
            <w:tcW w:w="4032" w:type="dxa"/>
            <w:tcMar>
              <w:top w:w="100" w:type="dxa"/>
              <w:left w:w="120" w:type="dxa"/>
              <w:bottom w:w="100" w:type="dxa"/>
              <w:right w:w="120" w:type="dxa"/>
            </w:tcMar>
            <w:vAlign w:val="center"/>
          </w:tcPr>
          <w:p w14:paraId="415D3EFD" w14:textId="77777777" w:rsidR="007E3836" w:rsidRDefault="00000000">
            <w:pPr>
              <w:spacing w:after="40" w:line="245" w:lineRule="auto"/>
            </w:pPr>
            <w:r>
              <w:rPr>
                <w:sz w:val="17"/>
              </w:rPr>
              <w:t>One critical path slips while others appear on track.</w:t>
            </w:r>
          </w:p>
        </w:tc>
      </w:tr>
      <w:tr w:rsidR="007E3836" w14:paraId="7BED8C5A" w14:textId="77777777">
        <w:trPr>
          <w:cantSplit/>
          <w:jc w:val="center"/>
        </w:trPr>
        <w:tc>
          <w:tcPr>
            <w:tcW w:w="1800" w:type="dxa"/>
            <w:shd w:val="clear" w:color="auto" w:fill="F7F9FA"/>
            <w:tcMar>
              <w:top w:w="100" w:type="dxa"/>
              <w:left w:w="120" w:type="dxa"/>
              <w:bottom w:w="100" w:type="dxa"/>
              <w:right w:w="120" w:type="dxa"/>
            </w:tcMar>
            <w:vAlign w:val="center"/>
          </w:tcPr>
          <w:p w14:paraId="72CFA22A" w14:textId="77777777" w:rsidR="007E3836" w:rsidRDefault="00000000">
            <w:pPr>
              <w:spacing w:after="40" w:line="245" w:lineRule="auto"/>
            </w:pPr>
            <w:r>
              <w:rPr>
                <w:sz w:val="17"/>
              </w:rPr>
              <w:t>8. Qualify as capacity</w:t>
            </w:r>
          </w:p>
        </w:tc>
        <w:tc>
          <w:tcPr>
            <w:tcW w:w="3960" w:type="dxa"/>
            <w:shd w:val="clear" w:color="auto" w:fill="F7F9FA"/>
            <w:tcMar>
              <w:top w:w="100" w:type="dxa"/>
              <w:left w:w="120" w:type="dxa"/>
              <w:bottom w:w="100" w:type="dxa"/>
              <w:right w:w="120" w:type="dxa"/>
            </w:tcMar>
            <w:vAlign w:val="center"/>
          </w:tcPr>
          <w:p w14:paraId="228D2C6E" w14:textId="77777777" w:rsidR="007E3836" w:rsidRDefault="00000000">
            <w:pPr>
              <w:spacing w:after="40" w:line="245" w:lineRule="auto"/>
            </w:pPr>
            <w:r>
              <w:rPr>
                <w:sz w:val="17"/>
              </w:rPr>
              <w:t>Registration, testing, commercial operation, and accreditation requirements are met.</w:t>
            </w:r>
          </w:p>
        </w:tc>
        <w:tc>
          <w:tcPr>
            <w:tcW w:w="4032" w:type="dxa"/>
            <w:shd w:val="clear" w:color="auto" w:fill="F7F9FA"/>
            <w:tcMar>
              <w:top w:w="100" w:type="dxa"/>
              <w:left w:w="120" w:type="dxa"/>
              <w:bottom w:w="100" w:type="dxa"/>
              <w:right w:w="120" w:type="dxa"/>
            </w:tcMar>
            <w:vAlign w:val="center"/>
          </w:tcPr>
          <w:p w14:paraId="1CEE4584" w14:textId="77777777" w:rsidR="007E3836" w:rsidRDefault="00000000">
            <w:pPr>
              <w:spacing w:after="40" w:line="245" w:lineRule="auto"/>
            </w:pPr>
            <w:r>
              <w:rPr>
                <w:sz w:val="17"/>
              </w:rPr>
              <w:t>Nameplate MW arrives but dependable value is lower or late.</w:t>
            </w:r>
          </w:p>
        </w:tc>
      </w:tr>
    </w:tbl>
    <w:p w14:paraId="632E49C3" w14:textId="77777777" w:rsidR="007E3836" w:rsidRDefault="007E3836">
      <w:pPr>
        <w:spacing w:after="20"/>
      </w:pPr>
    </w:p>
    <w:p w14:paraId="01D09B6E" w14:textId="77777777" w:rsidR="007E3836" w:rsidRDefault="00000000">
      <w:pPr>
        <w:pStyle w:val="Heading2"/>
      </w:pPr>
      <w:r>
        <w:t>Why a Three-Month GIA Does Not Mean Three-Month Generation</w:t>
      </w:r>
    </w:p>
    <w:p w14:paraId="3AE7796B" w14:textId="77777777" w:rsidR="007E3836" w:rsidRDefault="00000000">
      <w:r>
        <w:t>ERAS targets the study and agreement portion of the process. Physical delivery still depends on equipment, engineering, procurement, construction, fuel infrastructure, transmission-owner work, network upgrades, permitting, financing, and testing. The commercial-operation target should therefore be evaluated as an integrated critical path, not as an interconnection date alone.</w:t>
      </w:r>
    </w:p>
    <w:p w14:paraId="5D29C906" w14:textId="77777777" w:rsidR="007E3836" w:rsidRDefault="00000000">
      <w:pPr>
        <w:pStyle w:val="Heading2"/>
      </w:pPr>
      <w:r>
        <w:t>ERAS Governance Questions</w:t>
      </w:r>
    </w:p>
    <w:p w14:paraId="2711E324" w14:textId="77777777" w:rsidR="007E3836" w:rsidRDefault="00000000">
      <w:pPr>
        <w:pStyle w:val="ListBullet"/>
      </w:pPr>
      <w:r>
        <w:t>Who owns the underlying load forecast and verifies that it is still valid?</w:t>
      </w:r>
    </w:p>
    <w:p w14:paraId="7443AE7F" w14:textId="77777777" w:rsidR="007E3836" w:rsidRDefault="00000000">
      <w:pPr>
        <w:pStyle w:val="ListBullet"/>
      </w:pPr>
      <w:r>
        <w:t>What happens if the associated load is delayed, downsized, or canceled?</w:t>
      </w:r>
    </w:p>
    <w:p w14:paraId="638A36D8" w14:textId="77777777" w:rsidR="007E3836" w:rsidRDefault="00000000">
      <w:pPr>
        <w:pStyle w:val="ListBullet"/>
      </w:pPr>
      <w:r>
        <w:t>Is project size reasonably proportional to the need?</w:t>
      </w:r>
    </w:p>
    <w:p w14:paraId="4866EE49" w14:textId="77777777" w:rsidR="007E3836" w:rsidRDefault="00000000">
      <w:pPr>
        <w:pStyle w:val="ListBullet"/>
      </w:pPr>
      <w:r>
        <w:t>Which costs are directly assigned, socialized, or recovered through retail rates?</w:t>
      </w:r>
    </w:p>
    <w:p w14:paraId="2FD03CFD" w14:textId="77777777" w:rsidR="007E3836" w:rsidRDefault="00000000">
      <w:pPr>
        <w:pStyle w:val="ListBullet"/>
      </w:pPr>
      <w:r>
        <w:t>Does the technology provide the operating characteristics that the identified need requires?</w:t>
      </w:r>
    </w:p>
    <w:p w14:paraId="62C080E9" w14:textId="77777777" w:rsidR="007E3836" w:rsidRDefault="00000000">
      <w:pPr>
        <w:pStyle w:val="ListBullet"/>
      </w:pPr>
      <w:r>
        <w:t>Are fuel, duration, start capability, emissions, water, and extreme-weather performance credible?</w:t>
      </w:r>
    </w:p>
    <w:p w14:paraId="0E1E6408" w14:textId="77777777" w:rsidR="007E3836" w:rsidRDefault="00000000">
      <w:pPr>
        <w:pStyle w:val="ListBullet"/>
      </w:pPr>
      <w:r>
        <w:t>Can the resource qualify for the intended seasonal accreditation by the needed planning year?</w:t>
      </w:r>
    </w:p>
    <w:p w14:paraId="3EF04446" w14:textId="77777777" w:rsidR="007E3836" w:rsidRDefault="00000000">
      <w:pPr>
        <w:pStyle w:val="ListBullet"/>
      </w:pPr>
      <w:r>
        <w:lastRenderedPageBreak/>
        <w:t>What public reporting is needed to preserve confidence in an expedited pathway?</w:t>
      </w:r>
    </w:p>
    <w:p w14:paraId="22780234" w14:textId="77777777" w:rsidR="007E3836" w:rsidRDefault="00000000">
      <w:r>
        <w:br w:type="page"/>
      </w:r>
    </w:p>
    <w:p w14:paraId="70F95762" w14:textId="77777777" w:rsidR="007E3836" w:rsidRDefault="00000000">
      <w:pPr>
        <w:pStyle w:val="Heading1"/>
      </w:pPr>
      <w:r>
        <w:lastRenderedPageBreak/>
        <w:t>4. What the ERAS Cycles Reveal</w:t>
      </w:r>
    </w:p>
    <w:p w14:paraId="289A4A48" w14:textId="77777777" w:rsidR="007E3836" w:rsidRDefault="00000000">
      <w:r>
        <w:t>ERAS “cycles” are study cohorts, not the operating life cycle of a power plant. Each cohort is a snapshot of projects considered under the temporary pathway at a point in time. The portfolio can change as projects withdraw, agreements are completed, or new cycles begin.</w:t>
      </w:r>
    </w:p>
    <w:tbl>
      <w:tblPr>
        <w:tblStyle w:val="TableGrid"/>
        <w:tblW w:w="0" w:type="auto"/>
        <w:jc w:val="center"/>
        <w:tblLayout w:type="fixed"/>
        <w:tblLook w:val="04A0" w:firstRow="1" w:lastRow="0" w:firstColumn="1" w:lastColumn="0" w:noHBand="0" w:noVBand="1"/>
      </w:tblPr>
      <w:tblGrid>
        <w:gridCol w:w="1152"/>
        <w:gridCol w:w="4320"/>
        <w:gridCol w:w="4320"/>
      </w:tblGrid>
      <w:tr w:rsidR="007E3836" w14:paraId="3CBE5F5F" w14:textId="77777777">
        <w:trPr>
          <w:tblHeader/>
          <w:jc w:val="center"/>
        </w:trPr>
        <w:tc>
          <w:tcPr>
            <w:tcW w:w="1152" w:type="dxa"/>
            <w:shd w:val="clear" w:color="auto" w:fill="17365D"/>
            <w:tcMar>
              <w:top w:w="100" w:type="dxa"/>
              <w:left w:w="120" w:type="dxa"/>
              <w:bottom w:w="100" w:type="dxa"/>
              <w:right w:w="120" w:type="dxa"/>
            </w:tcMar>
            <w:vAlign w:val="center"/>
          </w:tcPr>
          <w:p w14:paraId="4220736A" w14:textId="77777777" w:rsidR="007E3836" w:rsidRDefault="00000000">
            <w:pPr>
              <w:spacing w:after="40" w:line="245" w:lineRule="auto"/>
            </w:pPr>
            <w:r>
              <w:rPr>
                <w:b/>
                <w:color w:val="FFFFFF"/>
                <w:sz w:val="17"/>
              </w:rPr>
              <w:t>Cycle</w:t>
            </w:r>
          </w:p>
        </w:tc>
        <w:tc>
          <w:tcPr>
            <w:tcW w:w="4320" w:type="dxa"/>
            <w:shd w:val="clear" w:color="auto" w:fill="17365D"/>
            <w:tcMar>
              <w:top w:w="100" w:type="dxa"/>
              <w:left w:w="120" w:type="dxa"/>
              <w:bottom w:w="100" w:type="dxa"/>
              <w:right w:w="120" w:type="dxa"/>
            </w:tcMar>
            <w:vAlign w:val="center"/>
          </w:tcPr>
          <w:p w14:paraId="71F87961" w14:textId="77777777" w:rsidR="007E3836" w:rsidRDefault="00000000">
            <w:pPr>
              <w:spacing w:after="40" w:line="245" w:lineRule="auto"/>
            </w:pPr>
            <w:r>
              <w:rPr>
                <w:b/>
                <w:color w:val="FFFFFF"/>
                <w:sz w:val="17"/>
              </w:rPr>
              <w:t>Publicly reported pattern</w:t>
            </w:r>
          </w:p>
        </w:tc>
        <w:tc>
          <w:tcPr>
            <w:tcW w:w="4320" w:type="dxa"/>
            <w:shd w:val="clear" w:color="auto" w:fill="17365D"/>
            <w:tcMar>
              <w:top w:w="100" w:type="dxa"/>
              <w:left w:w="120" w:type="dxa"/>
              <w:bottom w:w="100" w:type="dxa"/>
              <w:right w:w="120" w:type="dxa"/>
            </w:tcMar>
            <w:vAlign w:val="center"/>
          </w:tcPr>
          <w:p w14:paraId="64557034" w14:textId="77777777" w:rsidR="007E3836" w:rsidRDefault="00000000">
            <w:pPr>
              <w:spacing w:after="40" w:line="245" w:lineRule="auto"/>
            </w:pPr>
            <w:r>
              <w:rPr>
                <w:b/>
                <w:color w:val="FFFFFF"/>
                <w:sz w:val="17"/>
              </w:rPr>
              <w:t>Business-acumen lesson</w:t>
            </w:r>
          </w:p>
        </w:tc>
      </w:tr>
      <w:tr w:rsidR="007E3836" w14:paraId="75E90EA2" w14:textId="77777777">
        <w:trPr>
          <w:cantSplit/>
          <w:jc w:val="center"/>
        </w:trPr>
        <w:tc>
          <w:tcPr>
            <w:tcW w:w="1152" w:type="dxa"/>
            <w:tcMar>
              <w:top w:w="100" w:type="dxa"/>
              <w:left w:w="120" w:type="dxa"/>
              <w:bottom w:w="100" w:type="dxa"/>
              <w:right w:w="120" w:type="dxa"/>
            </w:tcMar>
            <w:vAlign w:val="center"/>
          </w:tcPr>
          <w:p w14:paraId="6E5D893D" w14:textId="77777777" w:rsidR="007E3836" w:rsidRDefault="00000000">
            <w:pPr>
              <w:spacing w:after="40" w:line="245" w:lineRule="auto"/>
            </w:pPr>
            <w:r>
              <w:rPr>
                <w:sz w:val="17"/>
              </w:rPr>
              <w:t>Cycle 1</w:t>
            </w:r>
          </w:p>
        </w:tc>
        <w:tc>
          <w:tcPr>
            <w:tcW w:w="4320" w:type="dxa"/>
            <w:tcMar>
              <w:top w:w="100" w:type="dxa"/>
              <w:left w:w="120" w:type="dxa"/>
              <w:bottom w:w="100" w:type="dxa"/>
              <w:right w:w="120" w:type="dxa"/>
            </w:tcMar>
            <w:vAlign w:val="center"/>
          </w:tcPr>
          <w:p w14:paraId="1566DF2D" w14:textId="77777777" w:rsidR="007E3836" w:rsidRDefault="00000000">
            <w:pPr>
              <w:spacing w:after="40" w:line="245" w:lineRule="auto"/>
            </w:pPr>
            <w:r>
              <w:rPr>
                <w:sz w:val="17"/>
              </w:rPr>
              <w:t>Public analyses describe a portfolio dominated by natural gas, with a small storage share.</w:t>
            </w:r>
          </w:p>
        </w:tc>
        <w:tc>
          <w:tcPr>
            <w:tcW w:w="4320" w:type="dxa"/>
            <w:tcMar>
              <w:top w:w="100" w:type="dxa"/>
              <w:left w:w="120" w:type="dxa"/>
              <w:bottom w:w="100" w:type="dxa"/>
              <w:right w:w="120" w:type="dxa"/>
            </w:tcMar>
            <w:vAlign w:val="center"/>
          </w:tcPr>
          <w:p w14:paraId="268C781F" w14:textId="77777777" w:rsidR="007E3836" w:rsidRDefault="00000000">
            <w:pPr>
              <w:spacing w:after="40" w:line="245" w:lineRule="auto"/>
            </w:pPr>
            <w:r>
              <w:rPr>
                <w:sz w:val="17"/>
              </w:rPr>
              <w:t>Earliest use emphasized dispatchable additions tied to identified needs.</w:t>
            </w:r>
          </w:p>
        </w:tc>
      </w:tr>
      <w:tr w:rsidR="007E3836" w14:paraId="0D72FA1F" w14:textId="77777777">
        <w:trPr>
          <w:cantSplit/>
          <w:jc w:val="center"/>
        </w:trPr>
        <w:tc>
          <w:tcPr>
            <w:tcW w:w="1152" w:type="dxa"/>
            <w:shd w:val="clear" w:color="auto" w:fill="F7F9FA"/>
            <w:tcMar>
              <w:top w:w="100" w:type="dxa"/>
              <w:left w:w="120" w:type="dxa"/>
              <w:bottom w:w="100" w:type="dxa"/>
              <w:right w:w="120" w:type="dxa"/>
            </w:tcMar>
            <w:vAlign w:val="center"/>
          </w:tcPr>
          <w:p w14:paraId="08E340BC" w14:textId="77777777" w:rsidR="007E3836" w:rsidRDefault="00000000">
            <w:pPr>
              <w:spacing w:after="40" w:line="245" w:lineRule="auto"/>
            </w:pPr>
            <w:r>
              <w:rPr>
                <w:sz w:val="17"/>
              </w:rPr>
              <w:t>Cycle 2</w:t>
            </w:r>
          </w:p>
        </w:tc>
        <w:tc>
          <w:tcPr>
            <w:tcW w:w="4320" w:type="dxa"/>
            <w:shd w:val="clear" w:color="auto" w:fill="F7F9FA"/>
            <w:tcMar>
              <w:top w:w="100" w:type="dxa"/>
              <w:left w:w="120" w:type="dxa"/>
              <w:bottom w:w="100" w:type="dxa"/>
              <w:right w:w="120" w:type="dxa"/>
            </w:tcMar>
            <w:vAlign w:val="center"/>
          </w:tcPr>
          <w:p w14:paraId="113724B9" w14:textId="77777777" w:rsidR="007E3836" w:rsidRDefault="00000000">
            <w:pPr>
              <w:spacing w:after="40" w:line="245" w:lineRule="auto"/>
            </w:pPr>
            <w:r>
              <w:rPr>
                <w:sz w:val="17"/>
              </w:rPr>
              <w:t>Public analyses show a broader mix that included gas, storage, solar, and wind.</w:t>
            </w:r>
          </w:p>
        </w:tc>
        <w:tc>
          <w:tcPr>
            <w:tcW w:w="4320" w:type="dxa"/>
            <w:shd w:val="clear" w:color="auto" w:fill="F7F9FA"/>
            <w:tcMar>
              <w:top w:w="100" w:type="dxa"/>
              <w:left w:w="120" w:type="dxa"/>
              <w:bottom w:w="100" w:type="dxa"/>
              <w:right w:w="120" w:type="dxa"/>
            </w:tcMar>
            <w:vAlign w:val="center"/>
          </w:tcPr>
          <w:p w14:paraId="0B887812" w14:textId="77777777" w:rsidR="007E3836" w:rsidRDefault="00000000">
            <w:pPr>
              <w:spacing w:after="40" w:line="245" w:lineRule="auto"/>
            </w:pPr>
            <w:r>
              <w:rPr>
                <w:sz w:val="17"/>
              </w:rPr>
              <w:t>Technology mix can shift with the sponsoring need and project readiness.</w:t>
            </w:r>
          </w:p>
        </w:tc>
      </w:tr>
      <w:tr w:rsidR="007E3836" w14:paraId="293D8CC7" w14:textId="77777777">
        <w:trPr>
          <w:cantSplit/>
          <w:jc w:val="center"/>
        </w:trPr>
        <w:tc>
          <w:tcPr>
            <w:tcW w:w="1152" w:type="dxa"/>
            <w:tcMar>
              <w:top w:w="100" w:type="dxa"/>
              <w:left w:w="120" w:type="dxa"/>
              <w:bottom w:w="100" w:type="dxa"/>
              <w:right w:w="120" w:type="dxa"/>
            </w:tcMar>
            <w:vAlign w:val="center"/>
          </w:tcPr>
          <w:p w14:paraId="0EF237DA" w14:textId="77777777" w:rsidR="007E3836" w:rsidRDefault="00000000">
            <w:pPr>
              <w:spacing w:after="40" w:line="245" w:lineRule="auto"/>
            </w:pPr>
            <w:r>
              <w:rPr>
                <w:sz w:val="17"/>
              </w:rPr>
              <w:t>Cycle 3</w:t>
            </w:r>
          </w:p>
        </w:tc>
        <w:tc>
          <w:tcPr>
            <w:tcW w:w="4320" w:type="dxa"/>
            <w:tcMar>
              <w:top w:w="100" w:type="dxa"/>
              <w:left w:w="120" w:type="dxa"/>
              <w:bottom w:w="100" w:type="dxa"/>
              <w:right w:w="120" w:type="dxa"/>
            </w:tcMar>
            <w:vAlign w:val="center"/>
          </w:tcPr>
          <w:p w14:paraId="7D556FB2" w14:textId="77777777" w:rsidR="007E3836" w:rsidRDefault="00000000">
            <w:pPr>
              <w:spacing w:after="40" w:line="245" w:lineRule="auto"/>
            </w:pPr>
            <w:r>
              <w:rPr>
                <w:sz w:val="17"/>
              </w:rPr>
              <w:t>15 projects totaling about 8.8 GW; public analysis reported roughly 6.4 GW gas and 2.3 GW storage.</w:t>
            </w:r>
          </w:p>
        </w:tc>
        <w:tc>
          <w:tcPr>
            <w:tcW w:w="4320" w:type="dxa"/>
            <w:tcMar>
              <w:top w:w="100" w:type="dxa"/>
              <w:left w:w="120" w:type="dxa"/>
              <w:bottom w:w="100" w:type="dxa"/>
              <w:right w:w="120" w:type="dxa"/>
            </w:tcMar>
            <w:vAlign w:val="center"/>
          </w:tcPr>
          <w:p w14:paraId="51AB0722" w14:textId="77777777" w:rsidR="007E3836" w:rsidRDefault="00000000">
            <w:pPr>
              <w:spacing w:after="40" w:line="245" w:lineRule="auto"/>
            </w:pPr>
            <w:r>
              <w:rPr>
                <w:sz w:val="17"/>
              </w:rPr>
              <w:t>Large load and manufacturing needs drove substantial gas and utility-scale storage activity.</w:t>
            </w:r>
          </w:p>
        </w:tc>
      </w:tr>
      <w:tr w:rsidR="007E3836" w14:paraId="42353774" w14:textId="77777777">
        <w:trPr>
          <w:cantSplit/>
          <w:jc w:val="center"/>
        </w:trPr>
        <w:tc>
          <w:tcPr>
            <w:tcW w:w="1152" w:type="dxa"/>
            <w:shd w:val="clear" w:color="auto" w:fill="F7F9FA"/>
            <w:tcMar>
              <w:top w:w="100" w:type="dxa"/>
              <w:left w:w="120" w:type="dxa"/>
              <w:bottom w:w="100" w:type="dxa"/>
              <w:right w:w="120" w:type="dxa"/>
            </w:tcMar>
            <w:vAlign w:val="center"/>
          </w:tcPr>
          <w:p w14:paraId="394E7793" w14:textId="77777777" w:rsidR="007E3836" w:rsidRDefault="00000000">
            <w:pPr>
              <w:spacing w:after="40" w:line="245" w:lineRule="auto"/>
            </w:pPr>
            <w:r>
              <w:rPr>
                <w:sz w:val="17"/>
              </w:rPr>
              <w:t>Cycle 4</w:t>
            </w:r>
          </w:p>
        </w:tc>
        <w:tc>
          <w:tcPr>
            <w:tcW w:w="4320" w:type="dxa"/>
            <w:shd w:val="clear" w:color="auto" w:fill="F7F9FA"/>
            <w:tcMar>
              <w:top w:w="100" w:type="dxa"/>
              <w:left w:w="120" w:type="dxa"/>
              <w:bottom w:w="100" w:type="dxa"/>
              <w:right w:w="120" w:type="dxa"/>
            </w:tcMar>
            <w:vAlign w:val="center"/>
          </w:tcPr>
          <w:p w14:paraId="124E0E9C" w14:textId="77777777" w:rsidR="007E3836" w:rsidRDefault="00000000">
            <w:pPr>
              <w:spacing w:after="40" w:line="245" w:lineRule="auto"/>
            </w:pPr>
            <w:r>
              <w:rPr>
                <w:sz w:val="17"/>
              </w:rPr>
              <w:t>Seven projects totaling about 3.7 GW; public analysis reported 83% gas, one 230 MW storage project, and 400 MW of Illinois solar.</w:t>
            </w:r>
          </w:p>
        </w:tc>
        <w:tc>
          <w:tcPr>
            <w:tcW w:w="4320" w:type="dxa"/>
            <w:shd w:val="clear" w:color="auto" w:fill="F7F9FA"/>
            <w:tcMar>
              <w:top w:w="100" w:type="dxa"/>
              <w:left w:w="120" w:type="dxa"/>
              <w:bottom w:w="100" w:type="dxa"/>
              <w:right w:w="120" w:type="dxa"/>
            </w:tcMar>
            <w:vAlign w:val="center"/>
          </w:tcPr>
          <w:p w14:paraId="57931FBB" w14:textId="77777777" w:rsidR="007E3836" w:rsidRDefault="00000000">
            <w:pPr>
              <w:spacing w:after="40" w:line="245" w:lineRule="auto"/>
            </w:pPr>
            <w:r>
              <w:rPr>
                <w:sz w:val="17"/>
              </w:rPr>
              <w:t>Cycle composition can swing sharply and withdrawals matter as much as initial applications.</w:t>
            </w:r>
          </w:p>
        </w:tc>
      </w:tr>
      <w:tr w:rsidR="007E3836" w14:paraId="7FDB8E2F" w14:textId="77777777">
        <w:trPr>
          <w:cantSplit/>
          <w:jc w:val="center"/>
        </w:trPr>
        <w:tc>
          <w:tcPr>
            <w:tcW w:w="1152" w:type="dxa"/>
            <w:tcMar>
              <w:top w:w="100" w:type="dxa"/>
              <w:left w:w="120" w:type="dxa"/>
              <w:bottom w:w="100" w:type="dxa"/>
              <w:right w:w="120" w:type="dxa"/>
            </w:tcMar>
            <w:vAlign w:val="center"/>
          </w:tcPr>
          <w:p w14:paraId="0E9D33E9" w14:textId="77777777" w:rsidR="007E3836" w:rsidRDefault="00000000">
            <w:pPr>
              <w:spacing w:after="40" w:line="245" w:lineRule="auto"/>
            </w:pPr>
            <w:r>
              <w:rPr>
                <w:sz w:val="17"/>
              </w:rPr>
              <w:t>Cycle 5</w:t>
            </w:r>
          </w:p>
        </w:tc>
        <w:tc>
          <w:tcPr>
            <w:tcW w:w="4320" w:type="dxa"/>
            <w:tcMar>
              <w:top w:w="100" w:type="dxa"/>
              <w:left w:w="120" w:type="dxa"/>
              <w:bottom w:w="100" w:type="dxa"/>
              <w:right w:w="120" w:type="dxa"/>
            </w:tcMar>
            <w:vAlign w:val="center"/>
          </w:tcPr>
          <w:p w14:paraId="3FDD3228" w14:textId="77777777" w:rsidR="007E3836" w:rsidRDefault="00000000">
            <w:pPr>
              <w:spacing w:after="40" w:line="245" w:lineRule="auto"/>
            </w:pPr>
            <w:r>
              <w:rPr>
                <w:sz w:val="17"/>
              </w:rPr>
              <w:t>15 resources totaling approximately 7.3 GW, combining gas, storage, solar, and wind; expected in service by 2029.</w:t>
            </w:r>
          </w:p>
        </w:tc>
        <w:tc>
          <w:tcPr>
            <w:tcW w:w="4320" w:type="dxa"/>
            <w:tcMar>
              <w:top w:w="100" w:type="dxa"/>
              <w:left w:w="120" w:type="dxa"/>
              <w:bottom w:w="100" w:type="dxa"/>
              <w:right w:w="120" w:type="dxa"/>
            </w:tcMar>
            <w:vAlign w:val="center"/>
          </w:tcPr>
          <w:p w14:paraId="23DA116F" w14:textId="77777777" w:rsidR="007E3836" w:rsidRDefault="00000000">
            <w:pPr>
              <w:spacing w:after="40" w:line="245" w:lineRule="auto"/>
            </w:pPr>
            <w:r>
              <w:rPr>
                <w:sz w:val="17"/>
              </w:rPr>
              <w:t>The portfolio broadened, but gas and batteries still represent most listed MW.</w:t>
            </w:r>
          </w:p>
        </w:tc>
      </w:tr>
    </w:tbl>
    <w:p w14:paraId="24EAB07D" w14:textId="77777777" w:rsidR="007E3836" w:rsidRDefault="007E3836">
      <w:pPr>
        <w:spacing w:after="20"/>
      </w:pPr>
    </w:p>
    <w:p w14:paraId="5A81785C" w14:textId="77777777" w:rsidR="007E3836" w:rsidRDefault="00000000">
      <w:pPr>
        <w:pStyle w:val="Source"/>
      </w:pPr>
      <w:r>
        <w:t>Sources: MISO fifth-cycle release and public cycle analyses. Cycle 1 and Cycle 2 are described directionally because the reviewed sources did not provide a complete authoritative cycle-by-cycle table. Use MISO’s current ERAS Interconnection Requests register for transaction-level diligence. [2][6][7]</w:t>
      </w:r>
    </w:p>
    <w:p w14:paraId="33F3502B" w14:textId="77777777" w:rsidR="007E3836" w:rsidRDefault="00000000">
      <w:pPr>
        <w:pStyle w:val="Heading2"/>
      </w:pPr>
      <w:r>
        <w:t>How to Read a Cycle Without Being Misled</w:t>
      </w:r>
    </w:p>
    <w:tbl>
      <w:tblPr>
        <w:tblW w:w="0" w:type="auto"/>
        <w:jc w:val="center"/>
        <w:tblLayout w:type="fixed"/>
        <w:tblLook w:val="04A0" w:firstRow="1" w:lastRow="0" w:firstColumn="1" w:lastColumn="0" w:noHBand="0" w:noVBand="1"/>
      </w:tblPr>
      <w:tblGrid>
        <w:gridCol w:w="9936"/>
      </w:tblGrid>
      <w:tr w:rsidR="007E3836" w14:paraId="0D6C0D74" w14:textId="77777777">
        <w:trPr>
          <w:jc w:val="center"/>
        </w:trPr>
        <w:tc>
          <w:tcPr>
            <w:tcW w:w="9936" w:type="dxa"/>
            <w:shd w:val="clear" w:color="auto" w:fill="EAF2F8"/>
            <w:tcMar>
              <w:top w:w="150" w:type="dxa"/>
              <w:left w:w="180" w:type="dxa"/>
              <w:bottom w:w="150" w:type="dxa"/>
              <w:right w:w="180" w:type="dxa"/>
            </w:tcMar>
          </w:tcPr>
          <w:p w14:paraId="6F8688CE" w14:textId="77777777" w:rsidR="00076B49" w:rsidRDefault="00076B49" w:rsidP="00076B49">
            <w:pPr>
              <w:pStyle w:val="ListNumber"/>
              <w:rPr>
                <w:kern w:val="2"/>
                <w:szCs w:val="20"/>
                <w14:ligatures w14:val="standardContextual"/>
              </w:rPr>
            </w:pPr>
            <w:r>
              <w:t>Separate applications, selected study participants, executed GIAs, projects under construction, and projects in commercial operation. They are different milestones.</w:t>
            </w:r>
          </w:p>
          <w:p w14:paraId="173B3C67" w14:textId="77777777" w:rsidR="00076B49" w:rsidRDefault="00076B49" w:rsidP="00076B49">
            <w:pPr>
              <w:pStyle w:val="ListNumber"/>
            </w:pPr>
            <w:r>
              <w:t>Count resources carefully. A single development name can include more than one resource, as with the DOUBLEC solar and storage components.</w:t>
            </w:r>
          </w:p>
          <w:p w14:paraId="5688EEBE" w14:textId="77777777" w:rsidR="00076B49" w:rsidRDefault="00076B49" w:rsidP="00076B49">
            <w:pPr>
              <w:pStyle w:val="ListNumber"/>
            </w:pPr>
            <w:r>
              <w:t>Reconcile stated portfolio totals with project-level MW, while allowing for rounding and updates.</w:t>
            </w:r>
          </w:p>
          <w:p w14:paraId="5E3BD91F" w14:textId="77777777" w:rsidR="00076B49" w:rsidRDefault="00076B49" w:rsidP="00076B49">
            <w:pPr>
              <w:pStyle w:val="ListNumber"/>
            </w:pPr>
            <w:r>
              <w:t>Track withdrawals and replacements. An initial cycle announcement is not a final built portfolio.</w:t>
            </w:r>
          </w:p>
          <w:p w14:paraId="39055BE5" w14:textId="77777777" w:rsidR="00076B49" w:rsidRDefault="00076B49" w:rsidP="00076B49">
            <w:pPr>
              <w:pStyle w:val="ListNumber"/>
            </w:pPr>
            <w:r>
              <w:t>Classify by function, not fuel label alone. A combined-cycle plant, combustion turbine, four-hour battery, solar facility, and wind project solve different operational problems.</w:t>
            </w:r>
          </w:p>
          <w:p w14:paraId="1DA32DAB" w14:textId="77777777" w:rsidR="00076B49" w:rsidRDefault="00076B49" w:rsidP="00076B49">
            <w:pPr>
              <w:pStyle w:val="ListNumber"/>
            </w:pPr>
            <w:r>
              <w:t>Map each project to its Local Resource Zone and identified need. System totals can obscure local constraints.</w:t>
            </w:r>
          </w:p>
          <w:p w14:paraId="3352E01A" w14:textId="77777777" w:rsidR="007E3836" w:rsidRDefault="00000000">
            <w:pPr>
              <w:spacing w:after="40" w:line="245" w:lineRule="auto"/>
            </w:pPr>
            <w:r>
              <w:rPr>
                <w:b/>
                <w:color w:val="17365D"/>
                <w:sz w:val="22"/>
              </w:rPr>
              <w:t>The right metric</w:t>
            </w:r>
            <w:r>
              <w:rPr>
                <w:b/>
                <w:color w:val="17365D"/>
                <w:sz w:val="22"/>
              </w:rPr>
              <w:br/>
            </w:r>
            <w:r>
              <w:rPr>
                <w:sz w:val="19"/>
              </w:rPr>
              <w:t>Do not ask only, “How many gigawatts are in ERAS?” Ask, “How many MW have executed GIAs, remain financeable, have permits and fuel, can meet the need date, and will receive useful seasonal accreditation in the right zone?”</w:t>
            </w:r>
          </w:p>
        </w:tc>
      </w:tr>
    </w:tbl>
    <w:p w14:paraId="054CE3FA" w14:textId="77777777" w:rsidR="007E3836" w:rsidRDefault="007E3836">
      <w:pPr>
        <w:spacing w:after="20"/>
      </w:pPr>
    </w:p>
    <w:p w14:paraId="71D29036" w14:textId="77777777" w:rsidR="007E3836" w:rsidRDefault="00000000">
      <w:r>
        <w:br w:type="page"/>
      </w:r>
    </w:p>
    <w:p w14:paraId="35F34FC5" w14:textId="77777777" w:rsidR="007E3836" w:rsidRDefault="00000000">
      <w:pPr>
        <w:pStyle w:val="Heading1"/>
      </w:pPr>
      <w:r>
        <w:lastRenderedPageBreak/>
        <w:t>5. Project Economics and Technology Tradeoffs</w:t>
      </w:r>
    </w:p>
    <w:tbl>
      <w:tblPr>
        <w:tblStyle w:val="TableGrid"/>
        <w:tblW w:w="0" w:type="auto"/>
        <w:jc w:val="center"/>
        <w:tblLayout w:type="fixed"/>
        <w:tblLook w:val="04A0" w:firstRow="1" w:lastRow="0" w:firstColumn="1" w:lastColumn="0" w:noHBand="0" w:noVBand="1"/>
      </w:tblPr>
      <w:tblGrid>
        <w:gridCol w:w="1440"/>
        <w:gridCol w:w="2520"/>
        <w:gridCol w:w="2520"/>
        <w:gridCol w:w="3024"/>
      </w:tblGrid>
      <w:tr w:rsidR="007E3836" w14:paraId="37B51431" w14:textId="77777777">
        <w:trPr>
          <w:tblHeader/>
          <w:jc w:val="center"/>
        </w:trPr>
        <w:tc>
          <w:tcPr>
            <w:tcW w:w="1440" w:type="dxa"/>
            <w:shd w:val="clear" w:color="auto" w:fill="17365D"/>
            <w:tcMar>
              <w:top w:w="100" w:type="dxa"/>
              <w:left w:w="120" w:type="dxa"/>
              <w:bottom w:w="100" w:type="dxa"/>
              <w:right w:w="120" w:type="dxa"/>
            </w:tcMar>
            <w:vAlign w:val="center"/>
          </w:tcPr>
          <w:p w14:paraId="5247FEA0" w14:textId="77777777" w:rsidR="007E3836" w:rsidRDefault="00000000">
            <w:pPr>
              <w:spacing w:after="40" w:line="245" w:lineRule="auto"/>
            </w:pPr>
            <w:r>
              <w:rPr>
                <w:b/>
                <w:color w:val="FFFFFF"/>
                <w:sz w:val="17"/>
              </w:rPr>
              <w:t>Resource</w:t>
            </w:r>
          </w:p>
        </w:tc>
        <w:tc>
          <w:tcPr>
            <w:tcW w:w="2520" w:type="dxa"/>
            <w:shd w:val="clear" w:color="auto" w:fill="17365D"/>
            <w:tcMar>
              <w:top w:w="100" w:type="dxa"/>
              <w:left w:w="120" w:type="dxa"/>
              <w:bottom w:w="100" w:type="dxa"/>
              <w:right w:w="120" w:type="dxa"/>
            </w:tcMar>
            <w:vAlign w:val="center"/>
          </w:tcPr>
          <w:p w14:paraId="2F001399" w14:textId="77777777" w:rsidR="007E3836" w:rsidRDefault="00000000">
            <w:pPr>
              <w:spacing w:after="40" w:line="245" w:lineRule="auto"/>
            </w:pPr>
            <w:r>
              <w:rPr>
                <w:b/>
                <w:color w:val="FFFFFF"/>
                <w:sz w:val="17"/>
              </w:rPr>
              <w:t>Commercial strength</w:t>
            </w:r>
          </w:p>
        </w:tc>
        <w:tc>
          <w:tcPr>
            <w:tcW w:w="2520" w:type="dxa"/>
            <w:shd w:val="clear" w:color="auto" w:fill="17365D"/>
            <w:tcMar>
              <w:top w:w="100" w:type="dxa"/>
              <w:left w:w="120" w:type="dxa"/>
              <w:bottom w:w="100" w:type="dxa"/>
              <w:right w:w="120" w:type="dxa"/>
            </w:tcMar>
            <w:vAlign w:val="center"/>
          </w:tcPr>
          <w:p w14:paraId="30FC9565" w14:textId="77777777" w:rsidR="007E3836" w:rsidRDefault="00000000">
            <w:pPr>
              <w:spacing w:after="40" w:line="245" w:lineRule="auto"/>
            </w:pPr>
            <w:r>
              <w:rPr>
                <w:b/>
                <w:color w:val="FFFFFF"/>
                <w:sz w:val="17"/>
              </w:rPr>
              <w:t>Key exposure</w:t>
            </w:r>
          </w:p>
        </w:tc>
        <w:tc>
          <w:tcPr>
            <w:tcW w:w="3024" w:type="dxa"/>
            <w:shd w:val="clear" w:color="auto" w:fill="17365D"/>
            <w:tcMar>
              <w:top w:w="100" w:type="dxa"/>
              <w:left w:w="120" w:type="dxa"/>
              <w:bottom w:w="100" w:type="dxa"/>
              <w:right w:w="120" w:type="dxa"/>
            </w:tcMar>
            <w:vAlign w:val="center"/>
          </w:tcPr>
          <w:p w14:paraId="64FC2219" w14:textId="77777777" w:rsidR="007E3836" w:rsidRDefault="00000000">
            <w:pPr>
              <w:spacing w:after="40" w:line="245" w:lineRule="auto"/>
            </w:pPr>
            <w:r>
              <w:rPr>
                <w:b/>
                <w:color w:val="FFFFFF"/>
                <w:sz w:val="17"/>
              </w:rPr>
              <w:t>Best question</w:t>
            </w:r>
          </w:p>
        </w:tc>
      </w:tr>
      <w:tr w:rsidR="007E3836" w14:paraId="6C0A33F2" w14:textId="77777777">
        <w:trPr>
          <w:cantSplit/>
          <w:jc w:val="center"/>
        </w:trPr>
        <w:tc>
          <w:tcPr>
            <w:tcW w:w="1440" w:type="dxa"/>
            <w:tcMar>
              <w:top w:w="100" w:type="dxa"/>
              <w:left w:w="120" w:type="dxa"/>
              <w:bottom w:w="100" w:type="dxa"/>
              <w:right w:w="120" w:type="dxa"/>
            </w:tcMar>
            <w:vAlign w:val="center"/>
          </w:tcPr>
          <w:p w14:paraId="38D45FFC" w14:textId="77777777" w:rsidR="007E3836" w:rsidRDefault="00000000">
            <w:pPr>
              <w:spacing w:after="40" w:line="245" w:lineRule="auto"/>
            </w:pPr>
            <w:r>
              <w:rPr>
                <w:sz w:val="17"/>
              </w:rPr>
              <w:t>Combined-cycle gas</w:t>
            </w:r>
          </w:p>
        </w:tc>
        <w:tc>
          <w:tcPr>
            <w:tcW w:w="2520" w:type="dxa"/>
            <w:tcMar>
              <w:top w:w="100" w:type="dxa"/>
              <w:left w:w="120" w:type="dxa"/>
              <w:bottom w:w="100" w:type="dxa"/>
              <w:right w:w="120" w:type="dxa"/>
            </w:tcMar>
            <w:vAlign w:val="center"/>
          </w:tcPr>
          <w:p w14:paraId="46732BA0" w14:textId="77777777" w:rsidR="007E3836" w:rsidRDefault="00000000">
            <w:pPr>
              <w:spacing w:after="40" w:line="245" w:lineRule="auto"/>
            </w:pPr>
            <w:r>
              <w:rPr>
                <w:sz w:val="17"/>
              </w:rPr>
              <w:t>High output and efficient operation relative to simple-cycle gas; can serve sustained load.</w:t>
            </w:r>
          </w:p>
        </w:tc>
        <w:tc>
          <w:tcPr>
            <w:tcW w:w="2520" w:type="dxa"/>
            <w:tcMar>
              <w:top w:w="100" w:type="dxa"/>
              <w:left w:w="120" w:type="dxa"/>
              <w:bottom w:w="100" w:type="dxa"/>
              <w:right w:w="120" w:type="dxa"/>
            </w:tcMar>
            <w:vAlign w:val="center"/>
          </w:tcPr>
          <w:p w14:paraId="4B5D743D" w14:textId="77777777" w:rsidR="007E3836" w:rsidRDefault="00000000">
            <w:pPr>
              <w:spacing w:after="40" w:line="245" w:lineRule="auto"/>
            </w:pPr>
            <w:r>
              <w:rPr>
                <w:sz w:val="17"/>
              </w:rPr>
              <w:t>Long lead equipment, gas infrastructure, emissions, capital intensity, and utilization risk.</w:t>
            </w:r>
          </w:p>
        </w:tc>
        <w:tc>
          <w:tcPr>
            <w:tcW w:w="3024" w:type="dxa"/>
            <w:tcMar>
              <w:top w:w="100" w:type="dxa"/>
              <w:left w:w="120" w:type="dxa"/>
              <w:bottom w:w="100" w:type="dxa"/>
              <w:right w:w="120" w:type="dxa"/>
            </w:tcMar>
            <w:vAlign w:val="center"/>
          </w:tcPr>
          <w:p w14:paraId="5B411D34" w14:textId="77777777" w:rsidR="007E3836" w:rsidRDefault="00000000">
            <w:pPr>
              <w:spacing w:after="40" w:line="245" w:lineRule="auto"/>
            </w:pPr>
            <w:r>
              <w:rPr>
                <w:sz w:val="17"/>
              </w:rPr>
              <w:t>Is the expected duty cycle sufficient to recover fixed costs?</w:t>
            </w:r>
          </w:p>
        </w:tc>
      </w:tr>
      <w:tr w:rsidR="007E3836" w14:paraId="68EBA0A3" w14:textId="77777777">
        <w:trPr>
          <w:cantSplit/>
          <w:jc w:val="center"/>
        </w:trPr>
        <w:tc>
          <w:tcPr>
            <w:tcW w:w="1440" w:type="dxa"/>
            <w:shd w:val="clear" w:color="auto" w:fill="F7F9FA"/>
            <w:tcMar>
              <w:top w:w="100" w:type="dxa"/>
              <w:left w:w="120" w:type="dxa"/>
              <w:bottom w:w="100" w:type="dxa"/>
              <w:right w:w="120" w:type="dxa"/>
            </w:tcMar>
            <w:vAlign w:val="center"/>
          </w:tcPr>
          <w:p w14:paraId="5E77C5DF" w14:textId="77777777" w:rsidR="007E3836" w:rsidRDefault="00000000">
            <w:pPr>
              <w:spacing w:after="40" w:line="245" w:lineRule="auto"/>
            </w:pPr>
            <w:r>
              <w:rPr>
                <w:sz w:val="17"/>
              </w:rPr>
              <w:t>Combustion turbine</w:t>
            </w:r>
          </w:p>
        </w:tc>
        <w:tc>
          <w:tcPr>
            <w:tcW w:w="2520" w:type="dxa"/>
            <w:shd w:val="clear" w:color="auto" w:fill="F7F9FA"/>
            <w:tcMar>
              <w:top w:w="100" w:type="dxa"/>
              <w:left w:w="120" w:type="dxa"/>
              <w:bottom w:w="100" w:type="dxa"/>
              <w:right w:w="120" w:type="dxa"/>
            </w:tcMar>
            <w:vAlign w:val="center"/>
          </w:tcPr>
          <w:p w14:paraId="33EED8B3" w14:textId="77777777" w:rsidR="007E3836" w:rsidRDefault="00000000">
            <w:pPr>
              <w:spacing w:after="40" w:line="245" w:lineRule="auto"/>
            </w:pPr>
            <w:r>
              <w:rPr>
                <w:sz w:val="17"/>
              </w:rPr>
              <w:t>Fast-start capability and peaking flexibility.</w:t>
            </w:r>
          </w:p>
        </w:tc>
        <w:tc>
          <w:tcPr>
            <w:tcW w:w="2520" w:type="dxa"/>
            <w:shd w:val="clear" w:color="auto" w:fill="F7F9FA"/>
            <w:tcMar>
              <w:top w:w="100" w:type="dxa"/>
              <w:left w:w="120" w:type="dxa"/>
              <w:bottom w:w="100" w:type="dxa"/>
              <w:right w:w="120" w:type="dxa"/>
            </w:tcMar>
            <w:vAlign w:val="center"/>
          </w:tcPr>
          <w:p w14:paraId="6CFC18F3" w14:textId="77777777" w:rsidR="007E3836" w:rsidRDefault="00000000">
            <w:pPr>
              <w:spacing w:after="40" w:line="245" w:lineRule="auto"/>
            </w:pPr>
            <w:r>
              <w:rPr>
                <w:sz w:val="17"/>
              </w:rPr>
              <w:t>Lower efficiency, fuel cost exposure, emissions, and limited run hours.</w:t>
            </w:r>
          </w:p>
        </w:tc>
        <w:tc>
          <w:tcPr>
            <w:tcW w:w="3024" w:type="dxa"/>
            <w:shd w:val="clear" w:color="auto" w:fill="F7F9FA"/>
            <w:tcMar>
              <w:top w:w="100" w:type="dxa"/>
              <w:left w:w="120" w:type="dxa"/>
              <w:bottom w:w="100" w:type="dxa"/>
              <w:right w:w="120" w:type="dxa"/>
            </w:tcMar>
            <w:vAlign w:val="center"/>
          </w:tcPr>
          <w:p w14:paraId="1E561EE3" w14:textId="77777777" w:rsidR="007E3836" w:rsidRDefault="00000000">
            <w:pPr>
              <w:spacing w:after="40" w:line="245" w:lineRule="auto"/>
            </w:pPr>
            <w:r>
              <w:rPr>
                <w:sz w:val="17"/>
              </w:rPr>
              <w:t>Is the value primarily capacity, energy scarcity, reserves, or local reliability?</w:t>
            </w:r>
          </w:p>
        </w:tc>
      </w:tr>
      <w:tr w:rsidR="007E3836" w14:paraId="40A991C0" w14:textId="77777777">
        <w:trPr>
          <w:cantSplit/>
          <w:jc w:val="center"/>
        </w:trPr>
        <w:tc>
          <w:tcPr>
            <w:tcW w:w="1440" w:type="dxa"/>
            <w:tcMar>
              <w:top w:w="100" w:type="dxa"/>
              <w:left w:w="120" w:type="dxa"/>
              <w:bottom w:w="100" w:type="dxa"/>
              <w:right w:w="120" w:type="dxa"/>
            </w:tcMar>
            <w:vAlign w:val="center"/>
          </w:tcPr>
          <w:p w14:paraId="327E7391" w14:textId="77777777" w:rsidR="007E3836" w:rsidRDefault="00000000">
            <w:pPr>
              <w:spacing w:after="40" w:line="245" w:lineRule="auto"/>
            </w:pPr>
            <w:r>
              <w:rPr>
                <w:sz w:val="17"/>
              </w:rPr>
              <w:t>Battery storage</w:t>
            </w:r>
          </w:p>
        </w:tc>
        <w:tc>
          <w:tcPr>
            <w:tcW w:w="2520" w:type="dxa"/>
            <w:tcMar>
              <w:top w:w="100" w:type="dxa"/>
              <w:left w:w="120" w:type="dxa"/>
              <w:bottom w:w="100" w:type="dxa"/>
              <w:right w:w="120" w:type="dxa"/>
            </w:tcMar>
            <w:vAlign w:val="center"/>
          </w:tcPr>
          <w:p w14:paraId="38246029" w14:textId="77777777" w:rsidR="007E3836" w:rsidRDefault="00000000">
            <w:pPr>
              <w:spacing w:after="40" w:line="245" w:lineRule="auto"/>
            </w:pPr>
            <w:r>
              <w:rPr>
                <w:sz w:val="17"/>
              </w:rPr>
              <w:t>Fast response, flexible charging/discharging, and modular deployment.</w:t>
            </w:r>
          </w:p>
        </w:tc>
        <w:tc>
          <w:tcPr>
            <w:tcW w:w="2520" w:type="dxa"/>
            <w:tcMar>
              <w:top w:w="100" w:type="dxa"/>
              <w:left w:w="120" w:type="dxa"/>
              <w:bottom w:w="100" w:type="dxa"/>
              <w:right w:w="120" w:type="dxa"/>
            </w:tcMar>
            <w:vAlign w:val="center"/>
          </w:tcPr>
          <w:p w14:paraId="6689E09B" w14:textId="77777777" w:rsidR="007E3836" w:rsidRDefault="00000000">
            <w:pPr>
              <w:spacing w:after="40" w:line="245" w:lineRule="auto"/>
            </w:pPr>
            <w:r>
              <w:rPr>
                <w:sz w:val="17"/>
              </w:rPr>
              <w:t>Duration, charging economics, degradation, accreditation, augmentation, and interconnection limits.</w:t>
            </w:r>
          </w:p>
        </w:tc>
        <w:tc>
          <w:tcPr>
            <w:tcW w:w="3024" w:type="dxa"/>
            <w:tcMar>
              <w:top w:w="100" w:type="dxa"/>
              <w:left w:w="120" w:type="dxa"/>
              <w:bottom w:w="100" w:type="dxa"/>
              <w:right w:w="120" w:type="dxa"/>
            </w:tcMar>
            <w:vAlign w:val="center"/>
          </w:tcPr>
          <w:p w14:paraId="527A80BC" w14:textId="77777777" w:rsidR="007E3836" w:rsidRDefault="00000000">
            <w:pPr>
              <w:spacing w:after="40" w:line="245" w:lineRule="auto"/>
            </w:pPr>
            <w:r>
              <w:rPr>
                <w:sz w:val="17"/>
              </w:rPr>
              <w:t>What need duration must it cover, and what is the charging assumption?</w:t>
            </w:r>
          </w:p>
        </w:tc>
      </w:tr>
      <w:tr w:rsidR="007E3836" w14:paraId="1D8359E8" w14:textId="77777777">
        <w:trPr>
          <w:cantSplit/>
          <w:jc w:val="center"/>
        </w:trPr>
        <w:tc>
          <w:tcPr>
            <w:tcW w:w="1440" w:type="dxa"/>
            <w:shd w:val="clear" w:color="auto" w:fill="F7F9FA"/>
            <w:tcMar>
              <w:top w:w="100" w:type="dxa"/>
              <w:left w:w="120" w:type="dxa"/>
              <w:bottom w:w="100" w:type="dxa"/>
              <w:right w:w="120" w:type="dxa"/>
            </w:tcMar>
            <w:vAlign w:val="center"/>
          </w:tcPr>
          <w:p w14:paraId="44494A57" w14:textId="77777777" w:rsidR="007E3836" w:rsidRDefault="00000000">
            <w:pPr>
              <w:spacing w:after="40" w:line="245" w:lineRule="auto"/>
            </w:pPr>
            <w:r>
              <w:rPr>
                <w:sz w:val="17"/>
              </w:rPr>
              <w:t>Solar</w:t>
            </w:r>
          </w:p>
        </w:tc>
        <w:tc>
          <w:tcPr>
            <w:tcW w:w="2520" w:type="dxa"/>
            <w:shd w:val="clear" w:color="auto" w:fill="F7F9FA"/>
            <w:tcMar>
              <w:top w:w="100" w:type="dxa"/>
              <w:left w:w="120" w:type="dxa"/>
              <w:bottom w:w="100" w:type="dxa"/>
              <w:right w:w="120" w:type="dxa"/>
            </w:tcMar>
            <w:vAlign w:val="center"/>
          </w:tcPr>
          <w:p w14:paraId="4AB5D268" w14:textId="77777777" w:rsidR="007E3836" w:rsidRDefault="00000000">
            <w:pPr>
              <w:spacing w:after="40" w:line="245" w:lineRule="auto"/>
            </w:pPr>
            <w:r>
              <w:rPr>
                <w:sz w:val="17"/>
              </w:rPr>
              <w:t>Low fuel and operating cost; modular and policy-aligned.</w:t>
            </w:r>
          </w:p>
        </w:tc>
        <w:tc>
          <w:tcPr>
            <w:tcW w:w="2520" w:type="dxa"/>
            <w:shd w:val="clear" w:color="auto" w:fill="F7F9FA"/>
            <w:tcMar>
              <w:top w:w="100" w:type="dxa"/>
              <w:left w:w="120" w:type="dxa"/>
              <w:bottom w:w="100" w:type="dxa"/>
              <w:right w:w="120" w:type="dxa"/>
            </w:tcMar>
            <w:vAlign w:val="center"/>
          </w:tcPr>
          <w:p w14:paraId="3C55C1B7" w14:textId="77777777" w:rsidR="007E3836" w:rsidRDefault="00000000">
            <w:pPr>
              <w:spacing w:after="40" w:line="245" w:lineRule="auto"/>
            </w:pPr>
            <w:r>
              <w:rPr>
                <w:sz w:val="17"/>
              </w:rPr>
              <w:t>Weather-dependent output and limited contribution during some risk hours.</w:t>
            </w:r>
          </w:p>
        </w:tc>
        <w:tc>
          <w:tcPr>
            <w:tcW w:w="3024" w:type="dxa"/>
            <w:shd w:val="clear" w:color="auto" w:fill="F7F9FA"/>
            <w:tcMar>
              <w:top w:w="100" w:type="dxa"/>
              <w:left w:w="120" w:type="dxa"/>
              <w:bottom w:w="100" w:type="dxa"/>
              <w:right w:w="120" w:type="dxa"/>
            </w:tcMar>
            <w:vAlign w:val="center"/>
          </w:tcPr>
          <w:p w14:paraId="40F54C77" w14:textId="77777777" w:rsidR="007E3836" w:rsidRDefault="00000000">
            <w:pPr>
              <w:spacing w:after="40" w:line="245" w:lineRule="auto"/>
            </w:pPr>
            <w:r>
              <w:rPr>
                <w:sz w:val="17"/>
              </w:rPr>
              <w:t>What is its seasonal accredited value and curtailment exposure?</w:t>
            </w:r>
          </w:p>
        </w:tc>
      </w:tr>
      <w:tr w:rsidR="007E3836" w14:paraId="325D6C25" w14:textId="77777777">
        <w:trPr>
          <w:cantSplit/>
          <w:jc w:val="center"/>
        </w:trPr>
        <w:tc>
          <w:tcPr>
            <w:tcW w:w="1440" w:type="dxa"/>
            <w:tcMar>
              <w:top w:w="100" w:type="dxa"/>
              <w:left w:w="120" w:type="dxa"/>
              <w:bottom w:w="100" w:type="dxa"/>
              <w:right w:w="120" w:type="dxa"/>
            </w:tcMar>
            <w:vAlign w:val="center"/>
          </w:tcPr>
          <w:p w14:paraId="531CE99B" w14:textId="77777777" w:rsidR="007E3836" w:rsidRDefault="00000000">
            <w:pPr>
              <w:spacing w:after="40" w:line="245" w:lineRule="auto"/>
            </w:pPr>
            <w:r>
              <w:rPr>
                <w:sz w:val="17"/>
              </w:rPr>
              <w:t>Wind</w:t>
            </w:r>
          </w:p>
        </w:tc>
        <w:tc>
          <w:tcPr>
            <w:tcW w:w="2520" w:type="dxa"/>
            <w:tcMar>
              <w:top w:w="100" w:type="dxa"/>
              <w:left w:w="120" w:type="dxa"/>
              <w:bottom w:w="100" w:type="dxa"/>
              <w:right w:w="120" w:type="dxa"/>
            </w:tcMar>
            <w:vAlign w:val="center"/>
          </w:tcPr>
          <w:p w14:paraId="173AAE5C" w14:textId="77777777" w:rsidR="007E3836" w:rsidRDefault="00000000">
            <w:pPr>
              <w:spacing w:after="40" w:line="245" w:lineRule="auto"/>
            </w:pPr>
            <w:r>
              <w:rPr>
                <w:sz w:val="17"/>
              </w:rPr>
              <w:t>Energy production and fuel diversity.</w:t>
            </w:r>
          </w:p>
        </w:tc>
        <w:tc>
          <w:tcPr>
            <w:tcW w:w="2520" w:type="dxa"/>
            <w:tcMar>
              <w:top w:w="100" w:type="dxa"/>
              <w:left w:w="120" w:type="dxa"/>
              <w:bottom w:w="100" w:type="dxa"/>
              <w:right w:w="120" w:type="dxa"/>
            </w:tcMar>
            <w:vAlign w:val="center"/>
          </w:tcPr>
          <w:p w14:paraId="413FCB1A" w14:textId="77777777" w:rsidR="007E3836" w:rsidRDefault="00000000">
            <w:pPr>
              <w:spacing w:after="40" w:line="245" w:lineRule="auto"/>
            </w:pPr>
            <w:r>
              <w:rPr>
                <w:sz w:val="17"/>
              </w:rPr>
              <w:t>Variable output, transmission dependence, and siting constraints.</w:t>
            </w:r>
          </w:p>
        </w:tc>
        <w:tc>
          <w:tcPr>
            <w:tcW w:w="3024" w:type="dxa"/>
            <w:tcMar>
              <w:top w:w="100" w:type="dxa"/>
              <w:left w:w="120" w:type="dxa"/>
              <w:bottom w:w="100" w:type="dxa"/>
              <w:right w:w="120" w:type="dxa"/>
            </w:tcMar>
            <w:vAlign w:val="center"/>
          </w:tcPr>
          <w:p w14:paraId="475F6974" w14:textId="77777777" w:rsidR="007E3836" w:rsidRDefault="00000000">
            <w:pPr>
              <w:spacing w:after="40" w:line="245" w:lineRule="auto"/>
            </w:pPr>
            <w:r>
              <w:rPr>
                <w:sz w:val="17"/>
              </w:rPr>
              <w:t>Does its output profile align with regional risk hours?</w:t>
            </w:r>
          </w:p>
        </w:tc>
      </w:tr>
      <w:tr w:rsidR="007E3836" w14:paraId="5A26026F" w14:textId="77777777">
        <w:trPr>
          <w:cantSplit/>
          <w:jc w:val="center"/>
        </w:trPr>
        <w:tc>
          <w:tcPr>
            <w:tcW w:w="1440" w:type="dxa"/>
            <w:shd w:val="clear" w:color="auto" w:fill="F7F9FA"/>
            <w:tcMar>
              <w:top w:w="100" w:type="dxa"/>
              <w:left w:w="120" w:type="dxa"/>
              <w:bottom w:w="100" w:type="dxa"/>
              <w:right w:w="120" w:type="dxa"/>
            </w:tcMar>
            <w:vAlign w:val="center"/>
          </w:tcPr>
          <w:p w14:paraId="450A9B96" w14:textId="77777777" w:rsidR="007E3836" w:rsidRDefault="00000000">
            <w:pPr>
              <w:spacing w:after="40" w:line="245" w:lineRule="auto"/>
            </w:pPr>
            <w:r>
              <w:rPr>
                <w:sz w:val="17"/>
              </w:rPr>
              <w:t>Hybrid</w:t>
            </w:r>
          </w:p>
        </w:tc>
        <w:tc>
          <w:tcPr>
            <w:tcW w:w="2520" w:type="dxa"/>
            <w:shd w:val="clear" w:color="auto" w:fill="F7F9FA"/>
            <w:tcMar>
              <w:top w:w="100" w:type="dxa"/>
              <w:left w:w="120" w:type="dxa"/>
              <w:bottom w:w="100" w:type="dxa"/>
              <w:right w:w="120" w:type="dxa"/>
            </w:tcMar>
            <w:vAlign w:val="center"/>
          </w:tcPr>
          <w:p w14:paraId="42FFA2A8" w14:textId="77777777" w:rsidR="007E3836" w:rsidRDefault="00000000">
            <w:pPr>
              <w:spacing w:after="40" w:line="245" w:lineRule="auto"/>
            </w:pPr>
            <w:r>
              <w:rPr>
                <w:sz w:val="17"/>
              </w:rPr>
              <w:t>Can share interconnection and combine complementary attributes.</w:t>
            </w:r>
          </w:p>
        </w:tc>
        <w:tc>
          <w:tcPr>
            <w:tcW w:w="2520" w:type="dxa"/>
            <w:shd w:val="clear" w:color="auto" w:fill="F7F9FA"/>
            <w:tcMar>
              <w:top w:w="100" w:type="dxa"/>
              <w:left w:w="120" w:type="dxa"/>
              <w:bottom w:w="100" w:type="dxa"/>
              <w:right w:w="120" w:type="dxa"/>
            </w:tcMar>
            <w:vAlign w:val="center"/>
          </w:tcPr>
          <w:p w14:paraId="640FE6B6" w14:textId="77777777" w:rsidR="007E3836" w:rsidRDefault="00000000">
            <w:pPr>
              <w:spacing w:after="40" w:line="245" w:lineRule="auto"/>
            </w:pPr>
            <w:r>
              <w:rPr>
                <w:sz w:val="17"/>
              </w:rPr>
              <w:t>Complex controls, charging rules, shared limits, and contract design.</w:t>
            </w:r>
          </w:p>
        </w:tc>
        <w:tc>
          <w:tcPr>
            <w:tcW w:w="3024" w:type="dxa"/>
            <w:shd w:val="clear" w:color="auto" w:fill="F7F9FA"/>
            <w:tcMar>
              <w:top w:w="100" w:type="dxa"/>
              <w:left w:w="120" w:type="dxa"/>
              <w:bottom w:w="100" w:type="dxa"/>
              <w:right w:w="120" w:type="dxa"/>
            </w:tcMar>
            <w:vAlign w:val="center"/>
          </w:tcPr>
          <w:p w14:paraId="5112D298" w14:textId="77777777" w:rsidR="007E3836" w:rsidRDefault="00000000">
            <w:pPr>
              <w:spacing w:after="40" w:line="245" w:lineRule="auto"/>
            </w:pPr>
            <w:r>
              <w:rPr>
                <w:sz w:val="17"/>
              </w:rPr>
              <w:t>How do components compete for the interconnection limit?</w:t>
            </w:r>
          </w:p>
        </w:tc>
      </w:tr>
      <w:tr w:rsidR="007E3836" w14:paraId="692F8A97" w14:textId="77777777">
        <w:trPr>
          <w:cantSplit/>
          <w:jc w:val="center"/>
        </w:trPr>
        <w:tc>
          <w:tcPr>
            <w:tcW w:w="1440" w:type="dxa"/>
            <w:tcMar>
              <w:top w:w="100" w:type="dxa"/>
              <w:left w:w="120" w:type="dxa"/>
              <w:bottom w:w="100" w:type="dxa"/>
              <w:right w:w="120" w:type="dxa"/>
            </w:tcMar>
            <w:vAlign w:val="center"/>
          </w:tcPr>
          <w:p w14:paraId="7F3847C5" w14:textId="77777777" w:rsidR="007E3836" w:rsidRDefault="00000000">
            <w:pPr>
              <w:spacing w:after="40" w:line="245" w:lineRule="auto"/>
            </w:pPr>
            <w:r>
              <w:rPr>
                <w:sz w:val="17"/>
              </w:rPr>
              <w:t>Demand response</w:t>
            </w:r>
          </w:p>
        </w:tc>
        <w:tc>
          <w:tcPr>
            <w:tcW w:w="2520" w:type="dxa"/>
            <w:tcMar>
              <w:top w:w="100" w:type="dxa"/>
              <w:left w:w="120" w:type="dxa"/>
              <w:bottom w:w="100" w:type="dxa"/>
              <w:right w:w="120" w:type="dxa"/>
            </w:tcMar>
            <w:vAlign w:val="center"/>
          </w:tcPr>
          <w:p w14:paraId="2D263C8A" w14:textId="77777777" w:rsidR="007E3836" w:rsidRDefault="00000000">
            <w:pPr>
              <w:spacing w:after="40" w:line="245" w:lineRule="auto"/>
            </w:pPr>
            <w:r>
              <w:rPr>
                <w:sz w:val="17"/>
              </w:rPr>
              <w:t>Can reduce obligations without building equivalent supply.</w:t>
            </w:r>
          </w:p>
        </w:tc>
        <w:tc>
          <w:tcPr>
            <w:tcW w:w="2520" w:type="dxa"/>
            <w:tcMar>
              <w:top w:w="100" w:type="dxa"/>
              <w:left w:w="120" w:type="dxa"/>
              <w:bottom w:w="100" w:type="dxa"/>
              <w:right w:w="120" w:type="dxa"/>
            </w:tcMar>
            <w:vAlign w:val="center"/>
          </w:tcPr>
          <w:p w14:paraId="2EED4A3C" w14:textId="77777777" w:rsidR="007E3836" w:rsidRDefault="00000000">
            <w:pPr>
              <w:spacing w:after="40" w:line="245" w:lineRule="auto"/>
            </w:pPr>
            <w:r>
              <w:rPr>
                <w:sz w:val="17"/>
              </w:rPr>
              <w:t>Measurement, customer participation, dispatch limits, and performance.</w:t>
            </w:r>
          </w:p>
        </w:tc>
        <w:tc>
          <w:tcPr>
            <w:tcW w:w="3024" w:type="dxa"/>
            <w:tcMar>
              <w:top w:w="100" w:type="dxa"/>
              <w:left w:w="120" w:type="dxa"/>
              <w:bottom w:w="100" w:type="dxa"/>
              <w:right w:w="120" w:type="dxa"/>
            </w:tcMar>
            <w:vAlign w:val="center"/>
          </w:tcPr>
          <w:p w14:paraId="604599F1" w14:textId="77777777" w:rsidR="007E3836" w:rsidRDefault="00000000">
            <w:pPr>
              <w:spacing w:after="40" w:line="245" w:lineRule="auto"/>
            </w:pPr>
            <w:r>
              <w:rPr>
                <w:sz w:val="17"/>
              </w:rPr>
              <w:t>Is it dependable under prolonged or repeated events?</w:t>
            </w:r>
          </w:p>
        </w:tc>
      </w:tr>
    </w:tbl>
    <w:p w14:paraId="5FE4AD1A" w14:textId="77777777" w:rsidR="007E3836" w:rsidRDefault="007E3836">
      <w:pPr>
        <w:spacing w:after="20"/>
      </w:pPr>
    </w:p>
    <w:p w14:paraId="62D1AE03" w14:textId="77777777" w:rsidR="007E3836" w:rsidRDefault="00000000">
      <w:pPr>
        <w:pStyle w:val="Heading2"/>
      </w:pPr>
      <w:r>
        <w:t>The Revenue Stack</w:t>
      </w:r>
    </w:p>
    <w:p w14:paraId="210D94B0" w14:textId="77777777" w:rsidR="007E3836" w:rsidRDefault="00000000">
      <w:pPr>
        <w:pStyle w:val="ListBullet"/>
      </w:pPr>
      <w:r>
        <w:t>Energy revenue: payment for MWh based on market dispatch or contract terms.</w:t>
      </w:r>
    </w:p>
    <w:p w14:paraId="210DF77C" w14:textId="77777777" w:rsidR="007E3836" w:rsidRDefault="00000000">
      <w:pPr>
        <w:pStyle w:val="ListBullet"/>
      </w:pPr>
      <w:r>
        <w:t>Capacity value: compensation associated with accredited availability for resource adequacy.</w:t>
      </w:r>
    </w:p>
    <w:p w14:paraId="2FDC17D4" w14:textId="77777777" w:rsidR="007E3836" w:rsidRDefault="00000000">
      <w:pPr>
        <w:pStyle w:val="ListBullet"/>
      </w:pPr>
      <w:r>
        <w:t>Ancillary services: products supporting balancing, reserves, and system performance where qualified.</w:t>
      </w:r>
    </w:p>
    <w:p w14:paraId="298AFA4E" w14:textId="77777777" w:rsidR="007E3836" w:rsidRDefault="00000000">
      <w:pPr>
        <w:pStyle w:val="ListBullet"/>
      </w:pPr>
      <w:r>
        <w:t>Contract revenue: tolling, power purchase, capacity, or utility procurement arrangements.</w:t>
      </w:r>
    </w:p>
    <w:p w14:paraId="53B15774" w14:textId="77777777" w:rsidR="007E3836" w:rsidRDefault="00000000">
      <w:pPr>
        <w:pStyle w:val="ListBullet"/>
      </w:pPr>
      <w:r>
        <w:t>Customer-backed value: direct alignment with a large-load service commitment or special contract.</w:t>
      </w:r>
    </w:p>
    <w:p w14:paraId="5574E42B" w14:textId="77777777" w:rsidR="007E3836" w:rsidRDefault="00000000">
      <w:pPr>
        <w:pStyle w:val="ListBullet"/>
      </w:pPr>
      <w:r>
        <w:t>Tax and incentive value: applicable federal, state, and local provisions, subject to current law and qualification.</w:t>
      </w:r>
    </w:p>
    <w:p w14:paraId="00621619" w14:textId="77777777" w:rsidR="007E3836" w:rsidRDefault="00000000">
      <w:r>
        <w:t>A financeable project usually needs a credible answer to revenue sufficiency, not merely a favorable interconnection position. For business discussions, ask which revenue elements are contracted, which are merchant, and who absorbs rule changes.</w:t>
      </w:r>
    </w:p>
    <w:p w14:paraId="4DF673B4" w14:textId="77777777" w:rsidR="007E3836" w:rsidRDefault="00000000">
      <w:pPr>
        <w:pStyle w:val="Heading2"/>
      </w:pPr>
      <w:r>
        <w:t>The Core Risk Allocation</w:t>
      </w:r>
    </w:p>
    <w:tbl>
      <w:tblPr>
        <w:tblStyle w:val="TableGrid"/>
        <w:tblW w:w="0" w:type="auto"/>
        <w:jc w:val="center"/>
        <w:tblLayout w:type="fixed"/>
        <w:tblLook w:val="04A0" w:firstRow="1" w:lastRow="0" w:firstColumn="1" w:lastColumn="0" w:noHBand="0" w:noVBand="1"/>
      </w:tblPr>
      <w:tblGrid>
        <w:gridCol w:w="2232"/>
        <w:gridCol w:w="3096"/>
        <w:gridCol w:w="4032"/>
      </w:tblGrid>
      <w:tr w:rsidR="007E3836" w14:paraId="7A6293F3" w14:textId="77777777">
        <w:trPr>
          <w:tblHeader/>
          <w:jc w:val="center"/>
        </w:trPr>
        <w:tc>
          <w:tcPr>
            <w:tcW w:w="2232" w:type="dxa"/>
            <w:shd w:val="clear" w:color="auto" w:fill="17365D"/>
            <w:tcMar>
              <w:top w:w="100" w:type="dxa"/>
              <w:left w:w="120" w:type="dxa"/>
              <w:bottom w:w="100" w:type="dxa"/>
              <w:right w:w="120" w:type="dxa"/>
            </w:tcMar>
            <w:vAlign w:val="center"/>
          </w:tcPr>
          <w:p w14:paraId="02C1AA32" w14:textId="77777777" w:rsidR="007E3836" w:rsidRDefault="00000000">
            <w:pPr>
              <w:spacing w:after="40" w:line="245" w:lineRule="auto"/>
            </w:pPr>
            <w:r>
              <w:rPr>
                <w:b/>
                <w:color w:val="FFFFFF"/>
                <w:sz w:val="17"/>
              </w:rPr>
              <w:t>Risk</w:t>
            </w:r>
          </w:p>
        </w:tc>
        <w:tc>
          <w:tcPr>
            <w:tcW w:w="3096" w:type="dxa"/>
            <w:shd w:val="clear" w:color="auto" w:fill="17365D"/>
            <w:tcMar>
              <w:top w:w="100" w:type="dxa"/>
              <w:left w:w="120" w:type="dxa"/>
              <w:bottom w:w="100" w:type="dxa"/>
              <w:right w:w="120" w:type="dxa"/>
            </w:tcMar>
            <w:vAlign w:val="center"/>
          </w:tcPr>
          <w:p w14:paraId="5AAAEDF2" w14:textId="77777777" w:rsidR="007E3836" w:rsidRDefault="00000000">
            <w:pPr>
              <w:spacing w:after="40" w:line="245" w:lineRule="auto"/>
            </w:pPr>
            <w:r>
              <w:rPr>
                <w:b/>
                <w:color w:val="FFFFFF"/>
                <w:sz w:val="17"/>
              </w:rPr>
              <w:t>Possible bearer</w:t>
            </w:r>
          </w:p>
        </w:tc>
        <w:tc>
          <w:tcPr>
            <w:tcW w:w="4032" w:type="dxa"/>
            <w:shd w:val="clear" w:color="auto" w:fill="17365D"/>
            <w:tcMar>
              <w:top w:w="100" w:type="dxa"/>
              <w:left w:w="120" w:type="dxa"/>
              <w:bottom w:w="100" w:type="dxa"/>
              <w:right w:w="120" w:type="dxa"/>
            </w:tcMar>
            <w:vAlign w:val="center"/>
          </w:tcPr>
          <w:p w14:paraId="6A773614" w14:textId="77777777" w:rsidR="007E3836" w:rsidRDefault="00000000">
            <w:pPr>
              <w:spacing w:after="40" w:line="245" w:lineRule="auto"/>
            </w:pPr>
            <w:r>
              <w:rPr>
                <w:b/>
                <w:color w:val="FFFFFF"/>
                <w:sz w:val="17"/>
              </w:rPr>
              <w:t>Policy question</w:t>
            </w:r>
          </w:p>
        </w:tc>
      </w:tr>
      <w:tr w:rsidR="007E3836" w14:paraId="07ADB7B3" w14:textId="77777777">
        <w:trPr>
          <w:cantSplit/>
          <w:jc w:val="center"/>
        </w:trPr>
        <w:tc>
          <w:tcPr>
            <w:tcW w:w="2232" w:type="dxa"/>
            <w:tcMar>
              <w:top w:w="100" w:type="dxa"/>
              <w:left w:w="120" w:type="dxa"/>
              <w:bottom w:w="100" w:type="dxa"/>
              <w:right w:w="120" w:type="dxa"/>
            </w:tcMar>
            <w:vAlign w:val="center"/>
          </w:tcPr>
          <w:p w14:paraId="32D2C6B1" w14:textId="77777777" w:rsidR="007E3836" w:rsidRDefault="00000000">
            <w:pPr>
              <w:spacing w:after="40" w:line="245" w:lineRule="auto"/>
            </w:pPr>
            <w:r>
              <w:rPr>
                <w:sz w:val="17"/>
              </w:rPr>
              <w:t>Load fails to materialize</w:t>
            </w:r>
          </w:p>
        </w:tc>
        <w:tc>
          <w:tcPr>
            <w:tcW w:w="3096" w:type="dxa"/>
            <w:tcMar>
              <w:top w:w="100" w:type="dxa"/>
              <w:left w:w="120" w:type="dxa"/>
              <w:bottom w:w="100" w:type="dxa"/>
              <w:right w:w="120" w:type="dxa"/>
            </w:tcMar>
            <w:vAlign w:val="center"/>
          </w:tcPr>
          <w:p w14:paraId="5B1D400D" w14:textId="77777777" w:rsidR="007E3836" w:rsidRDefault="00000000">
            <w:pPr>
              <w:spacing w:after="40" w:line="245" w:lineRule="auto"/>
            </w:pPr>
            <w:r>
              <w:rPr>
                <w:sz w:val="17"/>
              </w:rPr>
              <w:t>Large-load customer, developer, utility customers, or shareholders</w:t>
            </w:r>
          </w:p>
        </w:tc>
        <w:tc>
          <w:tcPr>
            <w:tcW w:w="4032" w:type="dxa"/>
            <w:tcMar>
              <w:top w:w="100" w:type="dxa"/>
              <w:left w:w="120" w:type="dxa"/>
              <w:bottom w:w="100" w:type="dxa"/>
              <w:right w:w="120" w:type="dxa"/>
            </w:tcMar>
            <w:vAlign w:val="center"/>
          </w:tcPr>
          <w:p w14:paraId="0C2F2511" w14:textId="77777777" w:rsidR="007E3836" w:rsidRDefault="00000000">
            <w:pPr>
              <w:spacing w:after="40" w:line="245" w:lineRule="auto"/>
            </w:pPr>
            <w:r>
              <w:rPr>
                <w:sz w:val="17"/>
              </w:rPr>
              <w:t>Should deposits, minimum bills, collateral, or exit payments protect other customers?</w:t>
            </w:r>
          </w:p>
        </w:tc>
      </w:tr>
      <w:tr w:rsidR="007E3836" w14:paraId="46A3CCB9" w14:textId="77777777">
        <w:trPr>
          <w:cantSplit/>
          <w:jc w:val="center"/>
        </w:trPr>
        <w:tc>
          <w:tcPr>
            <w:tcW w:w="2232" w:type="dxa"/>
            <w:shd w:val="clear" w:color="auto" w:fill="F7F9FA"/>
            <w:tcMar>
              <w:top w:w="100" w:type="dxa"/>
              <w:left w:w="120" w:type="dxa"/>
              <w:bottom w:w="100" w:type="dxa"/>
              <w:right w:w="120" w:type="dxa"/>
            </w:tcMar>
            <w:vAlign w:val="center"/>
          </w:tcPr>
          <w:p w14:paraId="2E6CFC2F" w14:textId="77777777" w:rsidR="007E3836" w:rsidRDefault="00000000">
            <w:pPr>
              <w:spacing w:after="40" w:line="245" w:lineRule="auto"/>
            </w:pPr>
            <w:r>
              <w:rPr>
                <w:sz w:val="17"/>
              </w:rPr>
              <w:t>Generation delay</w:t>
            </w:r>
          </w:p>
        </w:tc>
        <w:tc>
          <w:tcPr>
            <w:tcW w:w="3096" w:type="dxa"/>
            <w:shd w:val="clear" w:color="auto" w:fill="F7F9FA"/>
            <w:tcMar>
              <w:top w:w="100" w:type="dxa"/>
              <w:left w:w="120" w:type="dxa"/>
              <w:bottom w:w="100" w:type="dxa"/>
              <w:right w:w="120" w:type="dxa"/>
            </w:tcMar>
            <w:vAlign w:val="center"/>
          </w:tcPr>
          <w:p w14:paraId="26136CB8" w14:textId="77777777" w:rsidR="007E3836" w:rsidRDefault="00000000">
            <w:pPr>
              <w:spacing w:after="40" w:line="245" w:lineRule="auto"/>
            </w:pPr>
            <w:r>
              <w:rPr>
                <w:sz w:val="17"/>
              </w:rPr>
              <w:t>Developer, contractor, utility, or customer</w:t>
            </w:r>
          </w:p>
        </w:tc>
        <w:tc>
          <w:tcPr>
            <w:tcW w:w="4032" w:type="dxa"/>
            <w:shd w:val="clear" w:color="auto" w:fill="F7F9FA"/>
            <w:tcMar>
              <w:top w:w="100" w:type="dxa"/>
              <w:left w:w="120" w:type="dxa"/>
              <w:bottom w:w="100" w:type="dxa"/>
              <w:right w:w="120" w:type="dxa"/>
            </w:tcMar>
            <w:vAlign w:val="center"/>
          </w:tcPr>
          <w:p w14:paraId="523E99EC" w14:textId="77777777" w:rsidR="007E3836" w:rsidRDefault="00000000">
            <w:pPr>
              <w:spacing w:after="40" w:line="245" w:lineRule="auto"/>
            </w:pPr>
            <w:r>
              <w:rPr>
                <w:sz w:val="17"/>
              </w:rPr>
              <w:t>Are milestones and replacement-power obligations enforceable?</w:t>
            </w:r>
          </w:p>
        </w:tc>
      </w:tr>
      <w:tr w:rsidR="007E3836" w14:paraId="647F2672" w14:textId="77777777">
        <w:trPr>
          <w:cantSplit/>
          <w:jc w:val="center"/>
        </w:trPr>
        <w:tc>
          <w:tcPr>
            <w:tcW w:w="2232" w:type="dxa"/>
            <w:tcMar>
              <w:top w:w="100" w:type="dxa"/>
              <w:left w:w="120" w:type="dxa"/>
              <w:bottom w:w="100" w:type="dxa"/>
              <w:right w:w="120" w:type="dxa"/>
            </w:tcMar>
            <w:vAlign w:val="center"/>
          </w:tcPr>
          <w:p w14:paraId="14F1B4D2" w14:textId="77777777" w:rsidR="007E3836" w:rsidRDefault="00000000">
            <w:pPr>
              <w:spacing w:after="40" w:line="245" w:lineRule="auto"/>
            </w:pPr>
            <w:r>
              <w:rPr>
                <w:sz w:val="17"/>
              </w:rPr>
              <w:lastRenderedPageBreak/>
              <w:t>Network-upgrade increase</w:t>
            </w:r>
          </w:p>
        </w:tc>
        <w:tc>
          <w:tcPr>
            <w:tcW w:w="3096" w:type="dxa"/>
            <w:tcMar>
              <w:top w:w="100" w:type="dxa"/>
              <w:left w:w="120" w:type="dxa"/>
              <w:bottom w:w="100" w:type="dxa"/>
              <w:right w:w="120" w:type="dxa"/>
            </w:tcMar>
            <w:vAlign w:val="center"/>
          </w:tcPr>
          <w:p w14:paraId="17B28713" w14:textId="77777777" w:rsidR="007E3836" w:rsidRDefault="00000000">
            <w:pPr>
              <w:spacing w:after="40" w:line="245" w:lineRule="auto"/>
            </w:pPr>
            <w:r>
              <w:rPr>
                <w:sz w:val="17"/>
              </w:rPr>
              <w:t>Interconnection customer, transmission customers, or allocated beneficiaries</w:t>
            </w:r>
          </w:p>
        </w:tc>
        <w:tc>
          <w:tcPr>
            <w:tcW w:w="4032" w:type="dxa"/>
            <w:tcMar>
              <w:top w:w="100" w:type="dxa"/>
              <w:left w:w="120" w:type="dxa"/>
              <w:bottom w:w="100" w:type="dxa"/>
              <w:right w:w="120" w:type="dxa"/>
            </w:tcMar>
            <w:vAlign w:val="center"/>
          </w:tcPr>
          <w:p w14:paraId="36F4B2E1" w14:textId="77777777" w:rsidR="007E3836" w:rsidRDefault="00000000">
            <w:pPr>
              <w:spacing w:after="40" w:line="245" w:lineRule="auto"/>
            </w:pPr>
            <w:r>
              <w:rPr>
                <w:sz w:val="17"/>
              </w:rPr>
              <w:t>Does cost allocation match cost causation and regional benefit?</w:t>
            </w:r>
          </w:p>
        </w:tc>
      </w:tr>
      <w:tr w:rsidR="007E3836" w14:paraId="2C822057" w14:textId="77777777">
        <w:trPr>
          <w:cantSplit/>
          <w:jc w:val="center"/>
        </w:trPr>
        <w:tc>
          <w:tcPr>
            <w:tcW w:w="2232" w:type="dxa"/>
            <w:shd w:val="clear" w:color="auto" w:fill="F7F9FA"/>
            <w:tcMar>
              <w:top w:w="100" w:type="dxa"/>
              <w:left w:w="120" w:type="dxa"/>
              <w:bottom w:w="100" w:type="dxa"/>
              <w:right w:w="120" w:type="dxa"/>
            </w:tcMar>
            <w:vAlign w:val="center"/>
          </w:tcPr>
          <w:p w14:paraId="7CF2D2E7" w14:textId="77777777" w:rsidR="007E3836" w:rsidRDefault="00000000">
            <w:pPr>
              <w:spacing w:after="40" w:line="245" w:lineRule="auto"/>
            </w:pPr>
            <w:r>
              <w:rPr>
                <w:sz w:val="17"/>
              </w:rPr>
              <w:t>Fuel constraint</w:t>
            </w:r>
          </w:p>
        </w:tc>
        <w:tc>
          <w:tcPr>
            <w:tcW w:w="3096" w:type="dxa"/>
            <w:shd w:val="clear" w:color="auto" w:fill="F7F9FA"/>
            <w:tcMar>
              <w:top w:w="100" w:type="dxa"/>
              <w:left w:w="120" w:type="dxa"/>
              <w:bottom w:w="100" w:type="dxa"/>
              <w:right w:w="120" w:type="dxa"/>
            </w:tcMar>
            <w:vAlign w:val="center"/>
          </w:tcPr>
          <w:p w14:paraId="0A91F2EA" w14:textId="77777777" w:rsidR="007E3836" w:rsidRDefault="00000000">
            <w:pPr>
              <w:spacing w:after="40" w:line="245" w:lineRule="auto"/>
            </w:pPr>
            <w:r>
              <w:rPr>
                <w:sz w:val="17"/>
              </w:rPr>
              <w:t>Generator, pipeline shipper, customers, or market</w:t>
            </w:r>
          </w:p>
        </w:tc>
        <w:tc>
          <w:tcPr>
            <w:tcW w:w="4032" w:type="dxa"/>
            <w:shd w:val="clear" w:color="auto" w:fill="F7F9FA"/>
            <w:tcMar>
              <w:top w:w="100" w:type="dxa"/>
              <w:left w:w="120" w:type="dxa"/>
              <w:bottom w:w="100" w:type="dxa"/>
              <w:right w:w="120" w:type="dxa"/>
            </w:tcMar>
            <w:vAlign w:val="center"/>
          </w:tcPr>
          <w:p w14:paraId="1C20AC63" w14:textId="77777777" w:rsidR="007E3836" w:rsidRDefault="00000000">
            <w:pPr>
              <w:spacing w:after="40" w:line="245" w:lineRule="auto"/>
            </w:pPr>
            <w:r>
              <w:rPr>
                <w:sz w:val="17"/>
              </w:rPr>
              <w:t>Is firm fuel or alternate capability needed for the reliability claim?</w:t>
            </w:r>
          </w:p>
        </w:tc>
      </w:tr>
      <w:tr w:rsidR="007E3836" w14:paraId="10D93C6D" w14:textId="77777777">
        <w:trPr>
          <w:cantSplit/>
          <w:jc w:val="center"/>
        </w:trPr>
        <w:tc>
          <w:tcPr>
            <w:tcW w:w="2232" w:type="dxa"/>
            <w:tcMar>
              <w:top w:w="100" w:type="dxa"/>
              <w:left w:w="120" w:type="dxa"/>
              <w:bottom w:w="100" w:type="dxa"/>
              <w:right w:w="120" w:type="dxa"/>
            </w:tcMar>
            <w:vAlign w:val="center"/>
          </w:tcPr>
          <w:p w14:paraId="171F834C" w14:textId="77777777" w:rsidR="007E3836" w:rsidRDefault="00000000">
            <w:pPr>
              <w:spacing w:after="40" w:line="245" w:lineRule="auto"/>
            </w:pPr>
            <w:r>
              <w:rPr>
                <w:sz w:val="17"/>
              </w:rPr>
              <w:t>Accreditation change</w:t>
            </w:r>
          </w:p>
        </w:tc>
        <w:tc>
          <w:tcPr>
            <w:tcW w:w="3096" w:type="dxa"/>
            <w:tcMar>
              <w:top w:w="100" w:type="dxa"/>
              <w:left w:w="120" w:type="dxa"/>
              <w:bottom w:w="100" w:type="dxa"/>
              <w:right w:w="120" w:type="dxa"/>
            </w:tcMar>
            <w:vAlign w:val="center"/>
          </w:tcPr>
          <w:p w14:paraId="2EFCBE59" w14:textId="77777777" w:rsidR="007E3836" w:rsidRDefault="00000000">
            <w:pPr>
              <w:spacing w:after="40" w:line="245" w:lineRule="auto"/>
            </w:pPr>
            <w:r>
              <w:rPr>
                <w:sz w:val="17"/>
              </w:rPr>
              <w:t>Resource owner, counterparty, or customers</w:t>
            </w:r>
          </w:p>
        </w:tc>
        <w:tc>
          <w:tcPr>
            <w:tcW w:w="4032" w:type="dxa"/>
            <w:tcMar>
              <w:top w:w="100" w:type="dxa"/>
              <w:left w:w="120" w:type="dxa"/>
              <w:bottom w:w="100" w:type="dxa"/>
              <w:right w:w="120" w:type="dxa"/>
            </w:tcMar>
            <w:vAlign w:val="center"/>
          </w:tcPr>
          <w:p w14:paraId="311F179A" w14:textId="77777777" w:rsidR="007E3836" w:rsidRDefault="00000000">
            <w:pPr>
              <w:spacing w:after="40" w:line="245" w:lineRule="auto"/>
            </w:pPr>
            <w:r>
              <w:rPr>
                <w:sz w:val="17"/>
              </w:rPr>
              <w:t>Is the contract for nameplate MW or qualified accredited capacity?</w:t>
            </w:r>
          </w:p>
        </w:tc>
      </w:tr>
      <w:tr w:rsidR="007E3836" w14:paraId="5DF6C9E9" w14:textId="77777777">
        <w:trPr>
          <w:cantSplit/>
          <w:jc w:val="center"/>
        </w:trPr>
        <w:tc>
          <w:tcPr>
            <w:tcW w:w="2232" w:type="dxa"/>
            <w:shd w:val="clear" w:color="auto" w:fill="F7F9FA"/>
            <w:tcMar>
              <w:top w:w="100" w:type="dxa"/>
              <w:left w:w="120" w:type="dxa"/>
              <w:bottom w:w="100" w:type="dxa"/>
              <w:right w:w="120" w:type="dxa"/>
            </w:tcMar>
            <w:vAlign w:val="center"/>
          </w:tcPr>
          <w:p w14:paraId="78EFCE07" w14:textId="77777777" w:rsidR="007E3836" w:rsidRDefault="00000000">
            <w:pPr>
              <w:spacing w:after="40" w:line="245" w:lineRule="auto"/>
            </w:pPr>
            <w:r>
              <w:rPr>
                <w:sz w:val="17"/>
              </w:rPr>
              <w:t>Policy change</w:t>
            </w:r>
          </w:p>
        </w:tc>
        <w:tc>
          <w:tcPr>
            <w:tcW w:w="3096" w:type="dxa"/>
            <w:shd w:val="clear" w:color="auto" w:fill="F7F9FA"/>
            <w:tcMar>
              <w:top w:w="100" w:type="dxa"/>
              <w:left w:w="120" w:type="dxa"/>
              <w:bottom w:w="100" w:type="dxa"/>
              <w:right w:w="120" w:type="dxa"/>
            </w:tcMar>
            <w:vAlign w:val="center"/>
          </w:tcPr>
          <w:p w14:paraId="22BFD7BC" w14:textId="77777777" w:rsidR="007E3836" w:rsidRDefault="00000000">
            <w:pPr>
              <w:spacing w:after="40" w:line="245" w:lineRule="auto"/>
            </w:pPr>
            <w:r>
              <w:rPr>
                <w:sz w:val="17"/>
              </w:rPr>
              <w:t>Developer, utility, customers, or state</w:t>
            </w:r>
          </w:p>
        </w:tc>
        <w:tc>
          <w:tcPr>
            <w:tcW w:w="4032" w:type="dxa"/>
            <w:shd w:val="clear" w:color="auto" w:fill="F7F9FA"/>
            <w:tcMar>
              <w:top w:w="100" w:type="dxa"/>
              <w:left w:w="120" w:type="dxa"/>
              <w:bottom w:w="100" w:type="dxa"/>
              <w:right w:w="120" w:type="dxa"/>
            </w:tcMar>
            <w:vAlign w:val="center"/>
          </w:tcPr>
          <w:p w14:paraId="34C3FE12" w14:textId="77777777" w:rsidR="007E3836" w:rsidRDefault="00000000">
            <w:pPr>
              <w:spacing w:after="40" w:line="245" w:lineRule="auto"/>
            </w:pPr>
            <w:r>
              <w:rPr>
                <w:sz w:val="17"/>
              </w:rPr>
              <w:t>Who bears compliance and stranded-cost risk?</w:t>
            </w:r>
          </w:p>
        </w:tc>
      </w:tr>
    </w:tbl>
    <w:p w14:paraId="7B43E98F" w14:textId="77777777" w:rsidR="00076B49" w:rsidRDefault="00076B49">
      <w:pPr>
        <w:rPr>
          <w:kern w:val="2"/>
          <w:szCs w:val="20"/>
          <w14:ligatures w14:val="standardContextual"/>
        </w:rPr>
      </w:pPr>
      <w:r>
        <w:t>The practical lesson is that technology choice is never just a fuel debate. The better question is what problem the system is trying to solve: fast-start peaking, sustained energy, seasonal capacity, local reliability, flexibility, customer-backed growth, or policy compliance.</w:t>
      </w:r>
    </w:p>
    <w:p w14:paraId="5FACD386" w14:textId="77777777" w:rsidR="007E3836" w:rsidRDefault="007E3836">
      <w:pPr>
        <w:spacing w:after="20"/>
      </w:pPr>
    </w:p>
    <w:p w14:paraId="043B9A65" w14:textId="77777777" w:rsidR="007E3836" w:rsidRDefault="00000000">
      <w:r>
        <w:br w:type="page"/>
      </w:r>
    </w:p>
    <w:p w14:paraId="7D9EB894" w14:textId="77777777" w:rsidR="007E3836" w:rsidRDefault="00000000">
      <w:pPr>
        <w:pStyle w:val="Heading1"/>
      </w:pPr>
      <w:r>
        <w:lastRenderedPageBreak/>
        <w:t>6. Illinois and Ameren Illinois Lens</w:t>
      </w:r>
    </w:p>
    <w:p w14:paraId="4D1C0631" w14:textId="77777777" w:rsidR="007E3836" w:rsidRDefault="00000000">
      <w:pPr>
        <w:pStyle w:val="Heading2"/>
      </w:pPr>
      <w:r>
        <w:t>Why Illinois Is Structurally Different</w:t>
      </w:r>
    </w:p>
    <w:p w14:paraId="4A1A9A42" w14:textId="77777777" w:rsidR="007E3836" w:rsidRDefault="00000000" w:rsidP="00DA44F1">
      <w:r>
        <w:t xml:space="preserve">Illinois </w:t>
      </w:r>
      <w:r w:rsidR="00FA77F6" w:rsidRPr="00FA77F6">
        <w:t>is structurally different because responsibility for supply is spread across</w:t>
      </w:r>
      <w:r>
        <w:t xml:space="preserve"> wholesale markets</w:t>
      </w:r>
      <w:r w:rsidR="00FA77F6" w:rsidRPr="00FA77F6">
        <w:t>,</w:t>
      </w:r>
      <w:r>
        <w:t xml:space="preserve"> load-serving entities, alternative retail suppliers, municipal systems, cooperatives</w:t>
      </w:r>
      <w:r w:rsidR="00FA77F6" w:rsidRPr="00FA77F6">
        <w:t xml:space="preserve">, and state policy institutions. That makes reliability strategy less direct than it would be in a fully vertically integrated environment. The state’s 2025 Resource Adequacy Study </w:t>
      </w:r>
      <w:r>
        <w:t xml:space="preserve">notes that new electric supply resources typically </w:t>
      </w:r>
      <w:r w:rsidR="00FA77F6" w:rsidRPr="00FA77F6">
        <w:t>take</w:t>
      </w:r>
      <w:r>
        <w:t xml:space="preserve"> five to seven years </w:t>
      </w:r>
      <w:r w:rsidR="00FA77F6" w:rsidRPr="00FA77F6">
        <w:t>to develop, while</w:t>
      </w:r>
      <w:r>
        <w:t xml:space="preserve"> some transmission can require ten years or more. [8]</w:t>
      </w:r>
    </w:p>
    <w:tbl>
      <w:tblPr>
        <w:tblW w:w="0" w:type="auto"/>
        <w:jc w:val="center"/>
        <w:tblLayout w:type="fixed"/>
        <w:tblLook w:val="04A0" w:firstRow="1" w:lastRow="0" w:firstColumn="1" w:lastColumn="0" w:noHBand="0" w:noVBand="1"/>
      </w:tblPr>
      <w:tblGrid>
        <w:gridCol w:w="9936"/>
      </w:tblGrid>
      <w:tr w:rsidR="007E3836" w14:paraId="2E3CDDD6" w14:textId="77777777">
        <w:trPr>
          <w:jc w:val="center"/>
        </w:trPr>
        <w:tc>
          <w:tcPr>
            <w:tcW w:w="9936" w:type="dxa"/>
            <w:shd w:val="clear" w:color="auto" w:fill="EAF2F8"/>
            <w:tcMar>
              <w:top w:w="150" w:type="dxa"/>
              <w:left w:w="180" w:type="dxa"/>
              <w:bottom w:w="150" w:type="dxa"/>
              <w:right w:w="180" w:type="dxa"/>
            </w:tcMar>
          </w:tcPr>
          <w:p w14:paraId="281E5202" w14:textId="77777777" w:rsidR="007E3836" w:rsidRDefault="00000000">
            <w:pPr>
              <w:spacing w:after="40" w:line="245" w:lineRule="auto"/>
            </w:pPr>
            <w:r>
              <w:rPr>
                <w:b/>
                <w:color w:val="17365D"/>
                <w:sz w:val="22"/>
              </w:rPr>
              <w:t>Implication</w:t>
            </w:r>
            <w:r>
              <w:rPr>
                <w:b/>
                <w:color w:val="17365D"/>
                <w:sz w:val="22"/>
              </w:rPr>
              <w:br/>
            </w:r>
            <w:r>
              <w:rPr>
                <w:sz w:val="19"/>
              </w:rPr>
              <w:t>Illinois can identify a statewide reliability concern without having a single vertically integrated utility that is automatically responsible for building the next plant. Policy design must therefore answer who procures, for whom, through what authority, and with what customer protections.</w:t>
            </w:r>
          </w:p>
        </w:tc>
      </w:tr>
    </w:tbl>
    <w:p w14:paraId="70171CAD" w14:textId="77777777" w:rsidR="007E3836" w:rsidRDefault="007E3836">
      <w:pPr>
        <w:spacing w:after="20"/>
      </w:pPr>
    </w:p>
    <w:p w14:paraId="41B4130E" w14:textId="77777777" w:rsidR="007E3836" w:rsidRDefault="00000000">
      <w:pPr>
        <w:pStyle w:val="Heading2"/>
      </w:pPr>
      <w:r>
        <w:t>Ameren Illinois Role Clarity</w:t>
      </w:r>
    </w:p>
    <w:p w14:paraId="62435529" w14:textId="77777777" w:rsidR="007E3836" w:rsidRDefault="000E48EE" w:rsidP="002374EF">
      <w:r w:rsidRPr="000E48EE">
        <w:t>For</w:t>
      </w:r>
      <w:r>
        <w:t xml:space="preserve"> Ameren Illinois</w:t>
      </w:r>
      <w:r w:rsidRPr="000E48EE">
        <w:t>, the central message</w:t>
      </w:r>
      <w:r>
        <w:t xml:space="preserve"> is </w:t>
      </w:r>
      <w:r w:rsidRPr="000E48EE">
        <w:t xml:space="preserve">role clarity. As </w:t>
      </w:r>
      <w:r>
        <w:t>a distribution utility</w:t>
      </w:r>
      <w:r w:rsidRPr="000E48EE">
        <w:t xml:space="preserve">, Ameren Illinois </w:t>
      </w:r>
      <w:r>
        <w:t>does not own or operate generation</w:t>
      </w:r>
      <w:r w:rsidRPr="000E48EE">
        <w:t>, but it still has a major role in making large-load growth workable. That includes forecasting, service planning, tariff administration, customer protections, system coordination, and clear communication about what must happen before load, transmission, and supply can move together. [9]</w:t>
      </w:r>
    </w:p>
    <w:tbl>
      <w:tblPr>
        <w:tblStyle w:val="TableGrid"/>
        <w:tblW w:w="0" w:type="auto"/>
        <w:jc w:val="center"/>
        <w:tblLayout w:type="fixed"/>
        <w:tblLook w:val="04A0" w:firstRow="1" w:lastRow="0" w:firstColumn="1" w:lastColumn="0" w:noHBand="0" w:noVBand="1"/>
      </w:tblPr>
      <w:tblGrid>
        <w:gridCol w:w="4824"/>
        <w:gridCol w:w="4824"/>
      </w:tblGrid>
      <w:tr w:rsidR="007E3836" w14:paraId="0B99FFFF" w14:textId="77777777">
        <w:trPr>
          <w:tblHeader/>
          <w:jc w:val="center"/>
        </w:trPr>
        <w:tc>
          <w:tcPr>
            <w:tcW w:w="4824" w:type="dxa"/>
            <w:shd w:val="clear" w:color="auto" w:fill="17365D"/>
            <w:tcMar>
              <w:top w:w="100" w:type="dxa"/>
              <w:left w:w="120" w:type="dxa"/>
              <w:bottom w:w="100" w:type="dxa"/>
              <w:right w:w="120" w:type="dxa"/>
            </w:tcMar>
            <w:vAlign w:val="center"/>
          </w:tcPr>
          <w:p w14:paraId="5E6F99B2" w14:textId="77777777" w:rsidR="007E3836" w:rsidRDefault="00000000">
            <w:pPr>
              <w:spacing w:after="40" w:line="245" w:lineRule="auto"/>
            </w:pPr>
            <w:r>
              <w:rPr>
                <w:b/>
                <w:color w:val="FFFFFF"/>
                <w:sz w:val="17"/>
              </w:rPr>
              <w:t>Ameren Illinois can help</w:t>
            </w:r>
          </w:p>
        </w:tc>
        <w:tc>
          <w:tcPr>
            <w:tcW w:w="4824" w:type="dxa"/>
            <w:shd w:val="clear" w:color="auto" w:fill="17365D"/>
            <w:tcMar>
              <w:top w:w="100" w:type="dxa"/>
              <w:left w:w="120" w:type="dxa"/>
              <w:bottom w:w="100" w:type="dxa"/>
              <w:right w:w="120" w:type="dxa"/>
            </w:tcMar>
            <w:vAlign w:val="center"/>
          </w:tcPr>
          <w:p w14:paraId="7A683A85" w14:textId="77777777" w:rsidR="007E3836" w:rsidRDefault="00000000">
            <w:pPr>
              <w:spacing w:after="40" w:line="245" w:lineRule="auto"/>
            </w:pPr>
            <w:r>
              <w:rPr>
                <w:b/>
                <w:color w:val="FFFFFF"/>
                <w:sz w:val="17"/>
              </w:rPr>
              <w:t>Ameren Illinois does not automatically control</w:t>
            </w:r>
          </w:p>
        </w:tc>
      </w:tr>
      <w:tr w:rsidR="007E3836" w14:paraId="731FF4C7" w14:textId="77777777">
        <w:trPr>
          <w:cantSplit/>
          <w:jc w:val="center"/>
        </w:trPr>
        <w:tc>
          <w:tcPr>
            <w:tcW w:w="4824" w:type="dxa"/>
            <w:tcMar>
              <w:top w:w="100" w:type="dxa"/>
              <w:left w:w="120" w:type="dxa"/>
              <w:bottom w:w="100" w:type="dxa"/>
              <w:right w:w="120" w:type="dxa"/>
            </w:tcMar>
            <w:vAlign w:val="center"/>
          </w:tcPr>
          <w:p w14:paraId="2DFEA0E5" w14:textId="77777777" w:rsidR="007E3836" w:rsidRDefault="00000000">
            <w:pPr>
              <w:spacing w:after="40" w:line="245" w:lineRule="auto"/>
            </w:pPr>
            <w:r>
              <w:rPr>
                <w:sz w:val="17"/>
              </w:rPr>
              <w:t>Develop credible load forecasts and service requirements.</w:t>
            </w:r>
          </w:p>
        </w:tc>
        <w:tc>
          <w:tcPr>
            <w:tcW w:w="4824" w:type="dxa"/>
            <w:tcMar>
              <w:top w:w="100" w:type="dxa"/>
              <w:left w:w="120" w:type="dxa"/>
              <w:bottom w:w="100" w:type="dxa"/>
              <w:right w:w="120" w:type="dxa"/>
            </w:tcMar>
            <w:vAlign w:val="center"/>
          </w:tcPr>
          <w:p w14:paraId="1C6F4111" w14:textId="77777777" w:rsidR="007E3836" w:rsidRDefault="00000000">
            <w:pPr>
              <w:spacing w:after="40" w:line="245" w:lineRule="auto"/>
            </w:pPr>
            <w:r>
              <w:rPr>
                <w:sz w:val="17"/>
              </w:rPr>
              <w:t>Whether an independent generator reaches financial close.</w:t>
            </w:r>
          </w:p>
        </w:tc>
      </w:tr>
      <w:tr w:rsidR="007E3836" w14:paraId="51D0E427" w14:textId="77777777">
        <w:trPr>
          <w:cantSplit/>
          <w:jc w:val="center"/>
        </w:trPr>
        <w:tc>
          <w:tcPr>
            <w:tcW w:w="4824" w:type="dxa"/>
            <w:shd w:val="clear" w:color="auto" w:fill="F7F9FA"/>
            <w:tcMar>
              <w:top w:w="100" w:type="dxa"/>
              <w:left w:w="120" w:type="dxa"/>
              <w:bottom w:w="100" w:type="dxa"/>
              <w:right w:w="120" w:type="dxa"/>
            </w:tcMar>
            <w:vAlign w:val="center"/>
          </w:tcPr>
          <w:p w14:paraId="2BFE5AB3" w14:textId="77777777" w:rsidR="007E3836" w:rsidRDefault="00000000">
            <w:pPr>
              <w:spacing w:after="40" w:line="245" w:lineRule="auto"/>
            </w:pPr>
            <w:r>
              <w:rPr>
                <w:sz w:val="17"/>
              </w:rPr>
              <w:t>Plan distribution and coordinate subtransmission and transmission impacts.</w:t>
            </w:r>
          </w:p>
        </w:tc>
        <w:tc>
          <w:tcPr>
            <w:tcW w:w="4824" w:type="dxa"/>
            <w:shd w:val="clear" w:color="auto" w:fill="F7F9FA"/>
            <w:tcMar>
              <w:top w:w="100" w:type="dxa"/>
              <w:left w:w="120" w:type="dxa"/>
              <w:bottom w:w="100" w:type="dxa"/>
              <w:right w:w="120" w:type="dxa"/>
            </w:tcMar>
            <w:vAlign w:val="center"/>
          </w:tcPr>
          <w:p w14:paraId="57EA47CA" w14:textId="77777777" w:rsidR="007E3836" w:rsidRDefault="00000000">
            <w:pPr>
              <w:spacing w:after="40" w:line="245" w:lineRule="auto"/>
            </w:pPr>
            <w:r>
              <w:rPr>
                <w:sz w:val="17"/>
              </w:rPr>
              <w:t>MISO’s final interconnection study results or market rules.</w:t>
            </w:r>
          </w:p>
        </w:tc>
      </w:tr>
      <w:tr w:rsidR="007E3836" w14:paraId="5413F64A" w14:textId="77777777">
        <w:trPr>
          <w:cantSplit/>
          <w:jc w:val="center"/>
        </w:trPr>
        <w:tc>
          <w:tcPr>
            <w:tcW w:w="4824" w:type="dxa"/>
            <w:tcMar>
              <w:top w:w="100" w:type="dxa"/>
              <w:left w:w="120" w:type="dxa"/>
              <w:bottom w:w="100" w:type="dxa"/>
              <w:right w:w="120" w:type="dxa"/>
            </w:tcMar>
            <w:vAlign w:val="center"/>
          </w:tcPr>
          <w:p w14:paraId="55CD88DA" w14:textId="77777777" w:rsidR="007E3836" w:rsidRDefault="00000000">
            <w:pPr>
              <w:spacing w:after="40" w:line="245" w:lineRule="auto"/>
            </w:pPr>
            <w:r>
              <w:rPr>
                <w:sz w:val="17"/>
              </w:rPr>
              <w:t>Design and administer approved tariffs and customer protections.</w:t>
            </w:r>
          </w:p>
        </w:tc>
        <w:tc>
          <w:tcPr>
            <w:tcW w:w="4824" w:type="dxa"/>
            <w:tcMar>
              <w:top w:w="100" w:type="dxa"/>
              <w:left w:w="120" w:type="dxa"/>
              <w:bottom w:w="100" w:type="dxa"/>
              <w:right w:w="120" w:type="dxa"/>
            </w:tcMar>
            <w:vAlign w:val="center"/>
          </w:tcPr>
          <w:p w14:paraId="4908077C" w14:textId="77777777" w:rsidR="007E3836" w:rsidRDefault="00000000">
            <w:pPr>
              <w:spacing w:after="40" w:line="245" w:lineRule="auto"/>
            </w:pPr>
            <w:r>
              <w:rPr>
                <w:sz w:val="17"/>
              </w:rPr>
              <w:t>State siting, environmental permits, or legislative outcomes.</w:t>
            </w:r>
          </w:p>
        </w:tc>
      </w:tr>
      <w:tr w:rsidR="007E3836" w14:paraId="11946B4E" w14:textId="77777777">
        <w:trPr>
          <w:cantSplit/>
          <w:jc w:val="center"/>
        </w:trPr>
        <w:tc>
          <w:tcPr>
            <w:tcW w:w="4824" w:type="dxa"/>
            <w:shd w:val="clear" w:color="auto" w:fill="F7F9FA"/>
            <w:tcMar>
              <w:top w:w="100" w:type="dxa"/>
              <w:left w:w="120" w:type="dxa"/>
              <w:bottom w:w="100" w:type="dxa"/>
              <w:right w:w="120" w:type="dxa"/>
            </w:tcMar>
            <w:vAlign w:val="center"/>
          </w:tcPr>
          <w:p w14:paraId="1CDC5159" w14:textId="77777777" w:rsidR="007E3836" w:rsidRDefault="00000000">
            <w:pPr>
              <w:spacing w:after="40" w:line="245" w:lineRule="auto"/>
            </w:pPr>
            <w:r>
              <w:rPr>
                <w:sz w:val="17"/>
              </w:rPr>
              <w:t>Provide operational and customer information to relevant processes.</w:t>
            </w:r>
          </w:p>
        </w:tc>
        <w:tc>
          <w:tcPr>
            <w:tcW w:w="4824" w:type="dxa"/>
            <w:shd w:val="clear" w:color="auto" w:fill="F7F9FA"/>
            <w:tcMar>
              <w:top w:w="100" w:type="dxa"/>
              <w:left w:w="120" w:type="dxa"/>
              <w:bottom w:w="100" w:type="dxa"/>
              <w:right w:w="120" w:type="dxa"/>
            </w:tcMar>
            <w:vAlign w:val="center"/>
          </w:tcPr>
          <w:p w14:paraId="4B297C5A" w14:textId="77777777" w:rsidR="007E3836" w:rsidRDefault="00000000">
            <w:pPr>
              <w:spacing w:after="40" w:line="245" w:lineRule="auto"/>
            </w:pPr>
            <w:r>
              <w:rPr>
                <w:sz w:val="17"/>
              </w:rPr>
              <w:t>The commercial decisions of every ARES, developer, or large-load customer.</w:t>
            </w:r>
          </w:p>
        </w:tc>
      </w:tr>
      <w:tr w:rsidR="007E3836" w14:paraId="3FD9D800" w14:textId="77777777">
        <w:trPr>
          <w:cantSplit/>
          <w:jc w:val="center"/>
        </w:trPr>
        <w:tc>
          <w:tcPr>
            <w:tcW w:w="4824" w:type="dxa"/>
            <w:tcMar>
              <w:top w:w="100" w:type="dxa"/>
              <w:left w:w="120" w:type="dxa"/>
              <w:bottom w:w="100" w:type="dxa"/>
              <w:right w:w="120" w:type="dxa"/>
            </w:tcMar>
            <w:vAlign w:val="center"/>
          </w:tcPr>
          <w:p w14:paraId="05E54450" w14:textId="77777777" w:rsidR="007E3836" w:rsidRDefault="00000000">
            <w:pPr>
              <w:spacing w:after="40" w:line="245" w:lineRule="auto"/>
            </w:pPr>
            <w:r>
              <w:rPr>
                <w:sz w:val="17"/>
              </w:rPr>
              <w:t>Explain system needs and implementation consequences.</w:t>
            </w:r>
          </w:p>
        </w:tc>
        <w:tc>
          <w:tcPr>
            <w:tcW w:w="4824" w:type="dxa"/>
            <w:tcMar>
              <w:top w:w="100" w:type="dxa"/>
              <w:left w:w="120" w:type="dxa"/>
              <w:bottom w:w="100" w:type="dxa"/>
              <w:right w:w="120" w:type="dxa"/>
            </w:tcMar>
            <w:vAlign w:val="center"/>
          </w:tcPr>
          <w:p w14:paraId="477A74A6" w14:textId="77777777" w:rsidR="007E3836" w:rsidRDefault="00000000">
            <w:pPr>
              <w:spacing w:after="40" w:line="245" w:lineRule="auto"/>
            </w:pPr>
            <w:r>
              <w:rPr>
                <w:sz w:val="17"/>
              </w:rPr>
              <w:t>A universal statewide generation-procurement obligation absent authority.</w:t>
            </w:r>
          </w:p>
        </w:tc>
      </w:tr>
    </w:tbl>
    <w:p w14:paraId="23404DB8" w14:textId="77777777" w:rsidR="007E3836" w:rsidRDefault="007E3836">
      <w:pPr>
        <w:spacing w:after="20"/>
      </w:pPr>
    </w:p>
    <w:p w14:paraId="74F25DE3" w14:textId="77777777" w:rsidR="007E3836" w:rsidRDefault="00000000">
      <w:pPr>
        <w:pStyle w:val="Heading2"/>
      </w:pPr>
      <w:r>
        <w:t>Large-Load Integration: The Whole Arc</w:t>
      </w:r>
    </w:p>
    <w:p w14:paraId="1A3CCC16" w14:textId="77777777" w:rsidR="000E48EE" w:rsidRDefault="000E48EE" w:rsidP="000E48EE">
      <w:pPr>
        <w:pStyle w:val="ListNumber"/>
        <w:rPr>
          <w:kern w:val="2"/>
          <w:szCs w:val="20"/>
          <w14:ligatures w14:val="standardContextual"/>
        </w:rPr>
      </w:pPr>
      <w:r>
        <w:t>Economic development identifies the opportunity and tests site fit.</w:t>
      </w:r>
    </w:p>
    <w:p w14:paraId="296E329F" w14:textId="77777777" w:rsidR="000E48EE" w:rsidRDefault="000E48EE" w:rsidP="000E48EE">
      <w:pPr>
        <w:pStyle w:val="ListNumber"/>
      </w:pPr>
      <w:r>
        <w:t>The customer provides a load profile, schedule, ramp, redundancy needs, and credit support.</w:t>
      </w:r>
    </w:p>
    <w:p w14:paraId="0398D44F" w14:textId="77777777" w:rsidR="000E48EE" w:rsidRDefault="000E48EE" w:rsidP="000E48EE">
      <w:pPr>
        <w:pStyle w:val="ListNumber"/>
      </w:pPr>
      <w:r>
        <w:t>Utility planners determine service facilities, system impacts, and sequencing.</w:t>
      </w:r>
    </w:p>
    <w:p w14:paraId="1915864F" w14:textId="77777777" w:rsidR="000E48EE" w:rsidRDefault="000E48EE" w:rsidP="000E48EE">
      <w:pPr>
        <w:pStyle w:val="ListNumber"/>
      </w:pPr>
      <w:r>
        <w:t>Transmission and generation implications are identified, including the need for MISO studies.</w:t>
      </w:r>
    </w:p>
    <w:p w14:paraId="69CE5399" w14:textId="77777777" w:rsidR="000E48EE" w:rsidRDefault="000E48EE" w:rsidP="000E48EE">
      <w:pPr>
        <w:pStyle w:val="ListNumber"/>
      </w:pPr>
      <w:r>
        <w:t>Tariff and contract terms allocate upgrade costs, minimum obligations, security, delay risk, and exit risk.</w:t>
      </w:r>
    </w:p>
    <w:p w14:paraId="2B69F8B0" w14:textId="77777777" w:rsidR="000E48EE" w:rsidRDefault="000E48EE" w:rsidP="000E48EE">
      <w:pPr>
        <w:pStyle w:val="ListNumber"/>
      </w:pPr>
      <w:r>
        <w:t>A credible supply and resource-adequacy pathway is aligned with the customer energization date.</w:t>
      </w:r>
    </w:p>
    <w:p w14:paraId="1B764531" w14:textId="77777777" w:rsidR="000E48EE" w:rsidRDefault="000E48EE" w:rsidP="000E48EE">
      <w:pPr>
        <w:pStyle w:val="ListNumber"/>
      </w:pPr>
      <w:r>
        <w:t>Permits, construction, equipment, transmission, and generation advance against shared milestones.</w:t>
      </w:r>
    </w:p>
    <w:p w14:paraId="234926B2" w14:textId="77777777" w:rsidR="000E48EE" w:rsidRDefault="000E48EE" w:rsidP="000E48EE">
      <w:pPr>
        <w:pStyle w:val="ListNumber"/>
      </w:pPr>
      <w:r>
        <w:t>Commission, legislative, and stakeholder communications explain costs, benefits, protections, and contingencies.</w:t>
      </w:r>
    </w:p>
    <w:p w14:paraId="7A06A094" w14:textId="77777777" w:rsidR="000E48EE" w:rsidRDefault="000E48EE">
      <w:pPr>
        <w:rPr>
          <w:kern w:val="2"/>
          <w:szCs w:val="20"/>
          <w14:ligatures w14:val="standardContextual"/>
        </w:rPr>
      </w:pPr>
      <w:r>
        <w:t xml:space="preserve">From a utility perspective, the strongest position is not simply to welcome every large-load prospect or resist new obligations. It is to insist on a disciplined pathway: credible load commitments, transparent cost causation, </w:t>
      </w:r>
      <w:r>
        <w:lastRenderedPageBreak/>
        <w:t>enforceable customer protections, realistic supply assumptions, and enough flexibility to phase service if the customer or resource timeline changes.</w:t>
      </w:r>
    </w:p>
    <w:p w14:paraId="52732B87" w14:textId="77777777" w:rsidR="007E3836" w:rsidRDefault="00000000">
      <w:r>
        <w:br w:type="page"/>
      </w:r>
    </w:p>
    <w:p w14:paraId="2759BF93" w14:textId="77777777" w:rsidR="007E3836" w:rsidRDefault="00000000">
      <w:pPr>
        <w:pStyle w:val="Heading1"/>
      </w:pPr>
      <w:r>
        <w:lastRenderedPageBreak/>
        <w:t>7. Government Relations Playbook</w:t>
      </w:r>
    </w:p>
    <w:p w14:paraId="39172299" w14:textId="77777777" w:rsidR="007E3836" w:rsidRDefault="00000000">
      <w:pPr>
        <w:pStyle w:val="Heading2"/>
      </w:pPr>
      <w:r>
        <w:t>Your Role: Integrator, Not Substitute Engineer</w:t>
      </w:r>
    </w:p>
    <w:p w14:paraId="0F913935" w14:textId="77777777" w:rsidR="007E3836" w:rsidRDefault="00574C33" w:rsidP="005456F8">
      <w:r w:rsidRPr="00574C33">
        <w:t>The highest-value government relations role is not to become the engineer, market monitor, or tariff lawyer. It is to connect their work into a position that elected officials, regulators, executives, customers, and community stakeholders can understand and act on. Credibility comes from being precise about the facts, honest about tradeoffs, and clear about who owns each decision.</w:t>
      </w:r>
    </w:p>
    <w:p w14:paraId="0D3D2EA6" w14:textId="77777777" w:rsidR="007E3836" w:rsidRDefault="00000000">
      <w:pPr>
        <w:pStyle w:val="Heading2"/>
      </w:pPr>
      <w:r>
        <w:t>Five Moves for Credible Engagement</w:t>
      </w:r>
    </w:p>
    <w:tbl>
      <w:tblPr>
        <w:tblStyle w:val="TableGrid"/>
        <w:tblW w:w="0" w:type="auto"/>
        <w:jc w:val="center"/>
        <w:tblLayout w:type="fixed"/>
        <w:tblLook w:val="04A0" w:firstRow="1" w:lastRow="0" w:firstColumn="1" w:lastColumn="0" w:noHBand="0" w:noVBand="1"/>
      </w:tblPr>
      <w:tblGrid>
        <w:gridCol w:w="1152"/>
        <w:gridCol w:w="4032"/>
        <w:gridCol w:w="4464"/>
      </w:tblGrid>
      <w:tr w:rsidR="007E3836" w14:paraId="2361CCC4" w14:textId="77777777">
        <w:trPr>
          <w:tblHeader/>
          <w:jc w:val="center"/>
        </w:trPr>
        <w:tc>
          <w:tcPr>
            <w:tcW w:w="1152" w:type="dxa"/>
            <w:shd w:val="clear" w:color="auto" w:fill="17365D"/>
            <w:tcMar>
              <w:top w:w="100" w:type="dxa"/>
              <w:left w:w="120" w:type="dxa"/>
              <w:bottom w:w="100" w:type="dxa"/>
              <w:right w:w="120" w:type="dxa"/>
            </w:tcMar>
            <w:vAlign w:val="center"/>
          </w:tcPr>
          <w:p w14:paraId="7F3355C4" w14:textId="77777777" w:rsidR="007E3836" w:rsidRDefault="00000000">
            <w:pPr>
              <w:spacing w:after="40" w:line="245" w:lineRule="auto"/>
            </w:pPr>
            <w:r>
              <w:rPr>
                <w:b/>
                <w:color w:val="FFFFFF"/>
                <w:sz w:val="17"/>
              </w:rPr>
              <w:t>Move</w:t>
            </w:r>
          </w:p>
        </w:tc>
        <w:tc>
          <w:tcPr>
            <w:tcW w:w="4032" w:type="dxa"/>
            <w:shd w:val="clear" w:color="auto" w:fill="17365D"/>
            <w:tcMar>
              <w:top w:w="100" w:type="dxa"/>
              <w:left w:w="120" w:type="dxa"/>
              <w:bottom w:w="100" w:type="dxa"/>
              <w:right w:w="120" w:type="dxa"/>
            </w:tcMar>
            <w:vAlign w:val="center"/>
          </w:tcPr>
          <w:p w14:paraId="6F6E3AA2" w14:textId="77777777" w:rsidR="007E3836" w:rsidRDefault="00000000">
            <w:pPr>
              <w:spacing w:after="40" w:line="245" w:lineRule="auto"/>
            </w:pPr>
            <w:r>
              <w:rPr>
                <w:b/>
                <w:color w:val="FFFFFF"/>
                <w:sz w:val="17"/>
              </w:rPr>
              <w:t>What to do</w:t>
            </w:r>
          </w:p>
        </w:tc>
        <w:tc>
          <w:tcPr>
            <w:tcW w:w="4464" w:type="dxa"/>
            <w:shd w:val="clear" w:color="auto" w:fill="17365D"/>
            <w:tcMar>
              <w:top w:w="100" w:type="dxa"/>
              <w:left w:w="120" w:type="dxa"/>
              <w:bottom w:w="100" w:type="dxa"/>
              <w:right w:w="120" w:type="dxa"/>
            </w:tcMar>
            <w:vAlign w:val="center"/>
          </w:tcPr>
          <w:p w14:paraId="72CC518F" w14:textId="77777777" w:rsidR="007E3836" w:rsidRDefault="00000000">
            <w:pPr>
              <w:spacing w:after="40" w:line="245" w:lineRule="auto"/>
            </w:pPr>
            <w:r>
              <w:rPr>
                <w:b/>
                <w:color w:val="FFFFFF"/>
                <w:sz w:val="17"/>
              </w:rPr>
              <w:t>Evidence of credibility</w:t>
            </w:r>
          </w:p>
        </w:tc>
      </w:tr>
      <w:tr w:rsidR="007E3836" w14:paraId="0D7573B7" w14:textId="77777777">
        <w:trPr>
          <w:cantSplit/>
          <w:jc w:val="center"/>
        </w:trPr>
        <w:tc>
          <w:tcPr>
            <w:tcW w:w="1152" w:type="dxa"/>
            <w:tcMar>
              <w:top w:w="100" w:type="dxa"/>
              <w:left w:w="120" w:type="dxa"/>
              <w:bottom w:w="100" w:type="dxa"/>
              <w:right w:w="120" w:type="dxa"/>
            </w:tcMar>
            <w:vAlign w:val="center"/>
          </w:tcPr>
          <w:p w14:paraId="79F951BE" w14:textId="77777777" w:rsidR="007E3836" w:rsidRDefault="00000000">
            <w:pPr>
              <w:spacing w:after="40" w:line="245" w:lineRule="auto"/>
            </w:pPr>
            <w:r>
              <w:rPr>
                <w:sz w:val="17"/>
              </w:rPr>
              <w:t>Learn</w:t>
            </w:r>
          </w:p>
        </w:tc>
        <w:tc>
          <w:tcPr>
            <w:tcW w:w="4032" w:type="dxa"/>
            <w:tcMar>
              <w:top w:w="100" w:type="dxa"/>
              <w:left w:w="120" w:type="dxa"/>
              <w:bottom w:w="100" w:type="dxa"/>
              <w:right w:w="120" w:type="dxa"/>
            </w:tcMar>
            <w:vAlign w:val="center"/>
          </w:tcPr>
          <w:p w14:paraId="6CC1DE5B" w14:textId="77777777" w:rsidR="007E3836" w:rsidRDefault="00000000">
            <w:pPr>
              <w:spacing w:after="40" w:line="245" w:lineRule="auto"/>
            </w:pPr>
            <w:r>
              <w:rPr>
                <w:sz w:val="17"/>
              </w:rPr>
              <w:t>Build fluency in interconnection, resource adequacy, accreditation, tariffs, planning, and technology duty cycles.</w:t>
            </w:r>
          </w:p>
        </w:tc>
        <w:tc>
          <w:tcPr>
            <w:tcW w:w="4464" w:type="dxa"/>
            <w:tcMar>
              <w:top w:w="100" w:type="dxa"/>
              <w:left w:w="120" w:type="dxa"/>
              <w:bottom w:w="100" w:type="dxa"/>
              <w:right w:w="120" w:type="dxa"/>
            </w:tcMar>
            <w:vAlign w:val="center"/>
          </w:tcPr>
          <w:p w14:paraId="647C3E78" w14:textId="77777777" w:rsidR="007E3836" w:rsidRDefault="00000000">
            <w:pPr>
              <w:spacing w:after="40" w:line="245" w:lineRule="auto"/>
            </w:pPr>
            <w:r>
              <w:rPr>
                <w:sz w:val="17"/>
              </w:rPr>
              <w:t>You use terms precisely and can explain them plainly.</w:t>
            </w:r>
          </w:p>
        </w:tc>
      </w:tr>
      <w:tr w:rsidR="007E3836" w14:paraId="45E110D2" w14:textId="77777777">
        <w:trPr>
          <w:cantSplit/>
          <w:jc w:val="center"/>
        </w:trPr>
        <w:tc>
          <w:tcPr>
            <w:tcW w:w="1152" w:type="dxa"/>
            <w:shd w:val="clear" w:color="auto" w:fill="F7F9FA"/>
            <w:tcMar>
              <w:top w:w="100" w:type="dxa"/>
              <w:left w:w="120" w:type="dxa"/>
              <w:bottom w:w="100" w:type="dxa"/>
              <w:right w:w="120" w:type="dxa"/>
            </w:tcMar>
            <w:vAlign w:val="center"/>
          </w:tcPr>
          <w:p w14:paraId="6DE4D918" w14:textId="77777777" w:rsidR="007E3836" w:rsidRDefault="00000000">
            <w:pPr>
              <w:spacing w:after="40" w:line="245" w:lineRule="auto"/>
            </w:pPr>
            <w:r>
              <w:rPr>
                <w:sz w:val="17"/>
              </w:rPr>
              <w:t>Map</w:t>
            </w:r>
          </w:p>
        </w:tc>
        <w:tc>
          <w:tcPr>
            <w:tcW w:w="4032" w:type="dxa"/>
            <w:shd w:val="clear" w:color="auto" w:fill="F7F9FA"/>
            <w:tcMar>
              <w:top w:w="100" w:type="dxa"/>
              <w:left w:w="120" w:type="dxa"/>
              <w:bottom w:w="100" w:type="dxa"/>
              <w:right w:w="120" w:type="dxa"/>
            </w:tcMar>
            <w:vAlign w:val="center"/>
          </w:tcPr>
          <w:p w14:paraId="7F694E99" w14:textId="77777777" w:rsidR="007E3836" w:rsidRDefault="00000000">
            <w:pPr>
              <w:spacing w:after="40" w:line="245" w:lineRule="auto"/>
            </w:pPr>
            <w:r>
              <w:rPr>
                <w:sz w:val="17"/>
              </w:rPr>
              <w:t>Identify the decision, authority, affected parties, timeline, and unresolved dependencies.</w:t>
            </w:r>
          </w:p>
        </w:tc>
        <w:tc>
          <w:tcPr>
            <w:tcW w:w="4464" w:type="dxa"/>
            <w:shd w:val="clear" w:color="auto" w:fill="F7F9FA"/>
            <w:tcMar>
              <w:top w:w="100" w:type="dxa"/>
              <w:left w:w="120" w:type="dxa"/>
              <w:bottom w:w="100" w:type="dxa"/>
              <w:right w:w="120" w:type="dxa"/>
            </w:tcMar>
            <w:vAlign w:val="center"/>
          </w:tcPr>
          <w:p w14:paraId="05F93E8B" w14:textId="77777777" w:rsidR="007E3836" w:rsidRDefault="00000000">
            <w:pPr>
              <w:spacing w:after="40" w:line="245" w:lineRule="auto"/>
            </w:pPr>
            <w:r>
              <w:rPr>
                <w:sz w:val="17"/>
              </w:rPr>
              <w:t>You know who can say yes, who pays, and what must happen next.</w:t>
            </w:r>
          </w:p>
        </w:tc>
      </w:tr>
      <w:tr w:rsidR="007E3836" w14:paraId="492FDE02" w14:textId="77777777">
        <w:trPr>
          <w:cantSplit/>
          <w:jc w:val="center"/>
        </w:trPr>
        <w:tc>
          <w:tcPr>
            <w:tcW w:w="1152" w:type="dxa"/>
            <w:tcMar>
              <w:top w:w="100" w:type="dxa"/>
              <w:left w:w="120" w:type="dxa"/>
              <w:bottom w:w="100" w:type="dxa"/>
              <w:right w:w="120" w:type="dxa"/>
            </w:tcMar>
            <w:vAlign w:val="center"/>
          </w:tcPr>
          <w:p w14:paraId="664F1636" w14:textId="77777777" w:rsidR="007E3836" w:rsidRDefault="00000000">
            <w:pPr>
              <w:spacing w:after="40" w:line="245" w:lineRule="auto"/>
            </w:pPr>
            <w:r>
              <w:rPr>
                <w:sz w:val="17"/>
              </w:rPr>
              <w:t>Frame</w:t>
            </w:r>
          </w:p>
        </w:tc>
        <w:tc>
          <w:tcPr>
            <w:tcW w:w="4032" w:type="dxa"/>
            <w:tcMar>
              <w:top w:w="100" w:type="dxa"/>
              <w:left w:w="120" w:type="dxa"/>
              <w:bottom w:w="100" w:type="dxa"/>
              <w:right w:w="120" w:type="dxa"/>
            </w:tcMar>
            <w:vAlign w:val="center"/>
          </w:tcPr>
          <w:p w14:paraId="0314123A" w14:textId="77777777" w:rsidR="007E3836" w:rsidRDefault="00000000">
            <w:pPr>
              <w:spacing w:after="40" w:line="245" w:lineRule="auto"/>
            </w:pPr>
            <w:r>
              <w:rPr>
                <w:sz w:val="17"/>
              </w:rPr>
              <w:t>Connect reliability, affordability, economic development, customer protection, and clean-energy obligations.</w:t>
            </w:r>
          </w:p>
        </w:tc>
        <w:tc>
          <w:tcPr>
            <w:tcW w:w="4464" w:type="dxa"/>
            <w:tcMar>
              <w:top w:w="100" w:type="dxa"/>
              <w:left w:w="120" w:type="dxa"/>
              <w:bottom w:w="100" w:type="dxa"/>
              <w:right w:w="120" w:type="dxa"/>
            </w:tcMar>
            <w:vAlign w:val="center"/>
          </w:tcPr>
          <w:p w14:paraId="340BF12B" w14:textId="77777777" w:rsidR="007E3836" w:rsidRDefault="00000000">
            <w:pPr>
              <w:spacing w:after="40" w:line="245" w:lineRule="auto"/>
            </w:pPr>
            <w:r>
              <w:rPr>
                <w:sz w:val="17"/>
              </w:rPr>
              <w:t>You avoid presenting one objective as costless.</w:t>
            </w:r>
          </w:p>
        </w:tc>
      </w:tr>
      <w:tr w:rsidR="007E3836" w14:paraId="593DF096" w14:textId="77777777">
        <w:trPr>
          <w:cantSplit/>
          <w:jc w:val="center"/>
        </w:trPr>
        <w:tc>
          <w:tcPr>
            <w:tcW w:w="1152" w:type="dxa"/>
            <w:shd w:val="clear" w:color="auto" w:fill="F7F9FA"/>
            <w:tcMar>
              <w:top w:w="100" w:type="dxa"/>
              <w:left w:w="120" w:type="dxa"/>
              <w:bottom w:w="100" w:type="dxa"/>
              <w:right w:w="120" w:type="dxa"/>
            </w:tcMar>
            <w:vAlign w:val="center"/>
          </w:tcPr>
          <w:p w14:paraId="4C64C5F9" w14:textId="77777777" w:rsidR="007E3836" w:rsidRDefault="00000000">
            <w:pPr>
              <w:spacing w:after="40" w:line="245" w:lineRule="auto"/>
            </w:pPr>
            <w:r>
              <w:rPr>
                <w:sz w:val="17"/>
              </w:rPr>
              <w:t>Negotiate</w:t>
            </w:r>
          </w:p>
        </w:tc>
        <w:tc>
          <w:tcPr>
            <w:tcW w:w="4032" w:type="dxa"/>
            <w:shd w:val="clear" w:color="auto" w:fill="F7F9FA"/>
            <w:tcMar>
              <w:top w:w="100" w:type="dxa"/>
              <w:left w:w="120" w:type="dxa"/>
              <w:bottom w:w="100" w:type="dxa"/>
              <w:right w:w="120" w:type="dxa"/>
            </w:tcMar>
            <w:vAlign w:val="center"/>
          </w:tcPr>
          <w:p w14:paraId="510BB3BA" w14:textId="77777777" w:rsidR="007E3836" w:rsidRDefault="00000000">
            <w:pPr>
              <w:spacing w:after="40" w:line="245" w:lineRule="auto"/>
            </w:pPr>
            <w:r>
              <w:rPr>
                <w:sz w:val="17"/>
              </w:rPr>
              <w:t>Trade across timing, risk allocation, transparency, milestones, and safeguards.</w:t>
            </w:r>
          </w:p>
        </w:tc>
        <w:tc>
          <w:tcPr>
            <w:tcW w:w="4464" w:type="dxa"/>
            <w:shd w:val="clear" w:color="auto" w:fill="F7F9FA"/>
            <w:tcMar>
              <w:top w:w="100" w:type="dxa"/>
              <w:left w:w="120" w:type="dxa"/>
              <w:bottom w:w="100" w:type="dxa"/>
              <w:right w:w="120" w:type="dxa"/>
            </w:tcMar>
            <w:vAlign w:val="center"/>
          </w:tcPr>
          <w:p w14:paraId="48FAD158" w14:textId="77777777" w:rsidR="007E3836" w:rsidRDefault="00000000">
            <w:pPr>
              <w:spacing w:after="40" w:line="245" w:lineRule="auto"/>
            </w:pPr>
            <w:r>
              <w:rPr>
                <w:sz w:val="17"/>
              </w:rPr>
              <w:t>You bring options, not just objections.</w:t>
            </w:r>
          </w:p>
        </w:tc>
      </w:tr>
      <w:tr w:rsidR="007E3836" w14:paraId="6D724311" w14:textId="77777777">
        <w:trPr>
          <w:cantSplit/>
          <w:jc w:val="center"/>
        </w:trPr>
        <w:tc>
          <w:tcPr>
            <w:tcW w:w="1152" w:type="dxa"/>
            <w:tcMar>
              <w:top w:w="100" w:type="dxa"/>
              <w:left w:w="120" w:type="dxa"/>
              <w:bottom w:w="100" w:type="dxa"/>
              <w:right w:w="120" w:type="dxa"/>
            </w:tcMar>
            <w:vAlign w:val="center"/>
          </w:tcPr>
          <w:p w14:paraId="38439F9B" w14:textId="77777777" w:rsidR="007E3836" w:rsidRDefault="00000000">
            <w:pPr>
              <w:spacing w:after="40" w:line="245" w:lineRule="auto"/>
            </w:pPr>
            <w:r>
              <w:rPr>
                <w:sz w:val="17"/>
              </w:rPr>
              <w:t>Influence</w:t>
            </w:r>
          </w:p>
        </w:tc>
        <w:tc>
          <w:tcPr>
            <w:tcW w:w="4032" w:type="dxa"/>
            <w:tcMar>
              <w:top w:w="100" w:type="dxa"/>
              <w:left w:w="120" w:type="dxa"/>
              <w:bottom w:w="100" w:type="dxa"/>
              <w:right w:w="120" w:type="dxa"/>
            </w:tcMar>
            <w:vAlign w:val="center"/>
          </w:tcPr>
          <w:p w14:paraId="154ED37B" w14:textId="77777777" w:rsidR="007E3836" w:rsidRDefault="00000000">
            <w:pPr>
              <w:spacing w:after="40" w:line="245" w:lineRule="auto"/>
            </w:pPr>
            <w:r>
              <w:rPr>
                <w:sz w:val="17"/>
              </w:rPr>
              <w:t>Use validated facts, local benefits, constituent impact, and a realistic implementation pathway.</w:t>
            </w:r>
          </w:p>
        </w:tc>
        <w:tc>
          <w:tcPr>
            <w:tcW w:w="4464" w:type="dxa"/>
            <w:tcMar>
              <w:top w:w="100" w:type="dxa"/>
              <w:left w:w="120" w:type="dxa"/>
              <w:bottom w:w="100" w:type="dxa"/>
              <w:right w:w="120" w:type="dxa"/>
            </w:tcMar>
            <w:vAlign w:val="center"/>
          </w:tcPr>
          <w:p w14:paraId="0C13C4D1" w14:textId="77777777" w:rsidR="007E3836" w:rsidRDefault="00000000">
            <w:pPr>
              <w:spacing w:after="40" w:line="245" w:lineRule="auto"/>
            </w:pPr>
            <w:r>
              <w:rPr>
                <w:sz w:val="17"/>
              </w:rPr>
              <w:t>Your proposal survives technical and political scrutiny.</w:t>
            </w:r>
          </w:p>
        </w:tc>
      </w:tr>
    </w:tbl>
    <w:p w14:paraId="5383C568" w14:textId="77777777" w:rsidR="007E3836" w:rsidRDefault="007E3836">
      <w:pPr>
        <w:spacing w:after="20"/>
      </w:pPr>
    </w:p>
    <w:p w14:paraId="013905B8" w14:textId="77777777" w:rsidR="007E3836" w:rsidRDefault="00000000">
      <w:pPr>
        <w:pStyle w:val="Heading2"/>
      </w:pPr>
      <w:r>
        <w:t>Stakeholder Map</w:t>
      </w:r>
    </w:p>
    <w:tbl>
      <w:tblPr>
        <w:tblStyle w:val="TableGrid"/>
        <w:tblW w:w="0" w:type="auto"/>
        <w:jc w:val="center"/>
        <w:tblLayout w:type="fixed"/>
        <w:tblLook w:val="04A0" w:firstRow="1" w:lastRow="0" w:firstColumn="1" w:lastColumn="0" w:noHBand="0" w:noVBand="1"/>
      </w:tblPr>
      <w:tblGrid>
        <w:gridCol w:w="2016"/>
        <w:gridCol w:w="3384"/>
        <w:gridCol w:w="4104"/>
      </w:tblGrid>
      <w:tr w:rsidR="007E3836" w14:paraId="1EF00CC8" w14:textId="77777777">
        <w:trPr>
          <w:tblHeader/>
          <w:jc w:val="center"/>
        </w:trPr>
        <w:tc>
          <w:tcPr>
            <w:tcW w:w="2016" w:type="dxa"/>
            <w:shd w:val="clear" w:color="auto" w:fill="17365D"/>
            <w:tcMar>
              <w:top w:w="100" w:type="dxa"/>
              <w:left w:w="120" w:type="dxa"/>
              <w:bottom w:w="100" w:type="dxa"/>
              <w:right w:w="120" w:type="dxa"/>
            </w:tcMar>
            <w:vAlign w:val="center"/>
          </w:tcPr>
          <w:p w14:paraId="039D1CA5" w14:textId="77777777" w:rsidR="007E3836" w:rsidRDefault="00000000">
            <w:pPr>
              <w:spacing w:after="40" w:line="245" w:lineRule="auto"/>
            </w:pPr>
            <w:r>
              <w:rPr>
                <w:b/>
                <w:color w:val="FFFFFF"/>
                <w:sz w:val="17"/>
              </w:rPr>
              <w:t>Stakeholder</w:t>
            </w:r>
          </w:p>
        </w:tc>
        <w:tc>
          <w:tcPr>
            <w:tcW w:w="3384" w:type="dxa"/>
            <w:shd w:val="clear" w:color="auto" w:fill="17365D"/>
            <w:tcMar>
              <w:top w:w="100" w:type="dxa"/>
              <w:left w:w="120" w:type="dxa"/>
              <w:bottom w:w="100" w:type="dxa"/>
              <w:right w:w="120" w:type="dxa"/>
            </w:tcMar>
            <w:vAlign w:val="center"/>
          </w:tcPr>
          <w:p w14:paraId="3D608D48" w14:textId="77777777" w:rsidR="007E3836" w:rsidRDefault="00000000">
            <w:pPr>
              <w:spacing w:after="40" w:line="245" w:lineRule="auto"/>
            </w:pPr>
            <w:r>
              <w:rPr>
                <w:b/>
                <w:color w:val="FFFFFF"/>
                <w:sz w:val="17"/>
              </w:rPr>
              <w:t>Likely priority</w:t>
            </w:r>
          </w:p>
        </w:tc>
        <w:tc>
          <w:tcPr>
            <w:tcW w:w="4104" w:type="dxa"/>
            <w:shd w:val="clear" w:color="auto" w:fill="17365D"/>
            <w:tcMar>
              <w:top w:w="100" w:type="dxa"/>
              <w:left w:w="120" w:type="dxa"/>
              <w:bottom w:w="100" w:type="dxa"/>
              <w:right w:w="120" w:type="dxa"/>
            </w:tcMar>
            <w:vAlign w:val="center"/>
          </w:tcPr>
          <w:p w14:paraId="3C18CFFE" w14:textId="77777777" w:rsidR="007E3836" w:rsidRDefault="00000000">
            <w:pPr>
              <w:spacing w:after="40" w:line="245" w:lineRule="auto"/>
            </w:pPr>
            <w:r>
              <w:rPr>
                <w:b/>
                <w:color w:val="FFFFFF"/>
                <w:sz w:val="17"/>
              </w:rPr>
              <w:t>Productive line of inquiry</w:t>
            </w:r>
          </w:p>
        </w:tc>
      </w:tr>
      <w:tr w:rsidR="007E3836" w14:paraId="433E37CE" w14:textId="77777777">
        <w:trPr>
          <w:cantSplit/>
          <w:jc w:val="center"/>
        </w:trPr>
        <w:tc>
          <w:tcPr>
            <w:tcW w:w="2016" w:type="dxa"/>
            <w:tcMar>
              <w:top w:w="100" w:type="dxa"/>
              <w:left w:w="120" w:type="dxa"/>
              <w:bottom w:w="100" w:type="dxa"/>
              <w:right w:w="120" w:type="dxa"/>
            </w:tcMar>
            <w:vAlign w:val="center"/>
          </w:tcPr>
          <w:p w14:paraId="7A270F66" w14:textId="77777777" w:rsidR="007E3836" w:rsidRDefault="00000000">
            <w:pPr>
              <w:spacing w:after="40" w:line="245" w:lineRule="auto"/>
            </w:pPr>
            <w:r>
              <w:rPr>
                <w:sz w:val="17"/>
              </w:rPr>
              <w:t>MISO</w:t>
            </w:r>
          </w:p>
        </w:tc>
        <w:tc>
          <w:tcPr>
            <w:tcW w:w="3384" w:type="dxa"/>
            <w:tcMar>
              <w:top w:w="100" w:type="dxa"/>
              <w:left w:w="120" w:type="dxa"/>
              <w:bottom w:w="100" w:type="dxa"/>
              <w:right w:w="120" w:type="dxa"/>
            </w:tcMar>
            <w:vAlign w:val="center"/>
          </w:tcPr>
          <w:p w14:paraId="4786A57B" w14:textId="77777777" w:rsidR="007E3836" w:rsidRDefault="00000000">
            <w:pPr>
              <w:spacing w:after="40" w:line="245" w:lineRule="auto"/>
            </w:pPr>
            <w:r>
              <w:rPr>
                <w:sz w:val="17"/>
              </w:rPr>
              <w:t>Regional reliability, non-discriminatory access, tariff compliance, and study execution.</w:t>
            </w:r>
          </w:p>
        </w:tc>
        <w:tc>
          <w:tcPr>
            <w:tcW w:w="4104" w:type="dxa"/>
            <w:tcMar>
              <w:top w:w="100" w:type="dxa"/>
              <w:left w:w="120" w:type="dxa"/>
              <w:bottom w:w="100" w:type="dxa"/>
              <w:right w:w="120" w:type="dxa"/>
            </w:tcMar>
            <w:vAlign w:val="center"/>
          </w:tcPr>
          <w:p w14:paraId="1387290B" w14:textId="77777777" w:rsidR="007E3836" w:rsidRDefault="00000000">
            <w:pPr>
              <w:spacing w:after="40" w:line="245" w:lineRule="auto"/>
            </w:pPr>
            <w:r>
              <w:rPr>
                <w:sz w:val="17"/>
              </w:rPr>
              <w:t>What verified need and local constraint does this solve?</w:t>
            </w:r>
          </w:p>
        </w:tc>
      </w:tr>
      <w:tr w:rsidR="007E3836" w14:paraId="26FD1EA5" w14:textId="77777777">
        <w:trPr>
          <w:cantSplit/>
          <w:jc w:val="center"/>
        </w:trPr>
        <w:tc>
          <w:tcPr>
            <w:tcW w:w="2016" w:type="dxa"/>
            <w:shd w:val="clear" w:color="auto" w:fill="F7F9FA"/>
            <w:tcMar>
              <w:top w:w="100" w:type="dxa"/>
              <w:left w:w="120" w:type="dxa"/>
              <w:bottom w:w="100" w:type="dxa"/>
              <w:right w:w="120" w:type="dxa"/>
            </w:tcMar>
            <w:vAlign w:val="center"/>
          </w:tcPr>
          <w:p w14:paraId="44EFA524" w14:textId="77777777" w:rsidR="007E3836" w:rsidRDefault="00000000">
            <w:pPr>
              <w:spacing w:after="40" w:line="245" w:lineRule="auto"/>
            </w:pPr>
            <w:r>
              <w:rPr>
                <w:sz w:val="17"/>
              </w:rPr>
              <w:t>ICC / RERRA</w:t>
            </w:r>
          </w:p>
        </w:tc>
        <w:tc>
          <w:tcPr>
            <w:tcW w:w="3384" w:type="dxa"/>
            <w:shd w:val="clear" w:color="auto" w:fill="F7F9FA"/>
            <w:tcMar>
              <w:top w:w="100" w:type="dxa"/>
              <w:left w:w="120" w:type="dxa"/>
              <w:bottom w:w="100" w:type="dxa"/>
              <w:right w:w="120" w:type="dxa"/>
            </w:tcMar>
            <w:vAlign w:val="center"/>
          </w:tcPr>
          <w:p w14:paraId="389F1E9C" w14:textId="77777777" w:rsidR="007E3836" w:rsidRDefault="00000000">
            <w:pPr>
              <w:spacing w:after="40" w:line="245" w:lineRule="auto"/>
            </w:pPr>
            <w:r>
              <w:rPr>
                <w:sz w:val="17"/>
              </w:rPr>
              <w:t>Retail customer protection, jurisdiction, cost recovery, and verification of need.</w:t>
            </w:r>
          </w:p>
        </w:tc>
        <w:tc>
          <w:tcPr>
            <w:tcW w:w="4104" w:type="dxa"/>
            <w:shd w:val="clear" w:color="auto" w:fill="F7F9FA"/>
            <w:tcMar>
              <w:top w:w="100" w:type="dxa"/>
              <w:left w:w="120" w:type="dxa"/>
              <w:bottom w:w="100" w:type="dxa"/>
              <w:right w:w="120" w:type="dxa"/>
            </w:tcMar>
            <w:vAlign w:val="center"/>
          </w:tcPr>
          <w:p w14:paraId="4B6619EB" w14:textId="77777777" w:rsidR="007E3836" w:rsidRDefault="00000000">
            <w:pPr>
              <w:spacing w:after="40" w:line="245" w:lineRule="auto"/>
            </w:pPr>
            <w:r>
              <w:rPr>
                <w:sz w:val="17"/>
              </w:rPr>
              <w:t>What evidence supports need, and what safeguards protect customers?</w:t>
            </w:r>
          </w:p>
        </w:tc>
      </w:tr>
      <w:tr w:rsidR="007E3836" w14:paraId="23AB4284" w14:textId="77777777">
        <w:trPr>
          <w:cantSplit/>
          <w:jc w:val="center"/>
        </w:trPr>
        <w:tc>
          <w:tcPr>
            <w:tcW w:w="2016" w:type="dxa"/>
            <w:tcMar>
              <w:top w:w="100" w:type="dxa"/>
              <w:left w:w="120" w:type="dxa"/>
              <w:bottom w:w="100" w:type="dxa"/>
              <w:right w:w="120" w:type="dxa"/>
            </w:tcMar>
            <w:vAlign w:val="center"/>
          </w:tcPr>
          <w:p w14:paraId="578D645A" w14:textId="77777777" w:rsidR="007E3836" w:rsidRDefault="00000000">
            <w:pPr>
              <w:spacing w:after="40" w:line="245" w:lineRule="auto"/>
            </w:pPr>
            <w:r>
              <w:rPr>
                <w:sz w:val="17"/>
              </w:rPr>
              <w:t>IPA</w:t>
            </w:r>
          </w:p>
        </w:tc>
        <w:tc>
          <w:tcPr>
            <w:tcW w:w="3384" w:type="dxa"/>
            <w:tcMar>
              <w:top w:w="100" w:type="dxa"/>
              <w:left w:w="120" w:type="dxa"/>
              <w:bottom w:w="100" w:type="dxa"/>
              <w:right w:w="120" w:type="dxa"/>
            </w:tcMar>
            <w:vAlign w:val="center"/>
          </w:tcPr>
          <w:p w14:paraId="664FA450" w14:textId="77777777" w:rsidR="007E3836" w:rsidRDefault="00000000">
            <w:pPr>
              <w:spacing w:after="40" w:line="245" w:lineRule="auto"/>
            </w:pPr>
            <w:r>
              <w:rPr>
                <w:sz w:val="17"/>
              </w:rPr>
              <w:t>Procurement authority, portfolio design, and eligible-customer impacts.</w:t>
            </w:r>
          </w:p>
        </w:tc>
        <w:tc>
          <w:tcPr>
            <w:tcW w:w="4104" w:type="dxa"/>
            <w:tcMar>
              <w:top w:w="100" w:type="dxa"/>
              <w:left w:w="120" w:type="dxa"/>
              <w:bottom w:w="100" w:type="dxa"/>
              <w:right w:w="120" w:type="dxa"/>
            </w:tcMar>
            <w:vAlign w:val="center"/>
          </w:tcPr>
          <w:p w14:paraId="185F862E" w14:textId="77777777" w:rsidR="007E3836" w:rsidRDefault="00000000">
            <w:pPr>
              <w:spacing w:after="40" w:line="245" w:lineRule="auto"/>
            </w:pPr>
            <w:r>
              <w:rPr>
                <w:sz w:val="17"/>
              </w:rPr>
              <w:t>Can existing procurement tools secure the needed product and term?</w:t>
            </w:r>
          </w:p>
        </w:tc>
      </w:tr>
      <w:tr w:rsidR="007E3836" w14:paraId="419CB2E1" w14:textId="77777777">
        <w:trPr>
          <w:cantSplit/>
          <w:jc w:val="center"/>
        </w:trPr>
        <w:tc>
          <w:tcPr>
            <w:tcW w:w="2016" w:type="dxa"/>
            <w:shd w:val="clear" w:color="auto" w:fill="F7F9FA"/>
            <w:tcMar>
              <w:top w:w="100" w:type="dxa"/>
              <w:left w:w="120" w:type="dxa"/>
              <w:bottom w:w="100" w:type="dxa"/>
              <w:right w:w="120" w:type="dxa"/>
            </w:tcMar>
            <w:vAlign w:val="center"/>
          </w:tcPr>
          <w:p w14:paraId="7C239771" w14:textId="77777777" w:rsidR="007E3836" w:rsidRDefault="00000000">
            <w:pPr>
              <w:spacing w:after="40" w:line="245" w:lineRule="auto"/>
            </w:pPr>
            <w:r>
              <w:rPr>
                <w:sz w:val="17"/>
              </w:rPr>
              <w:t>IEPA and permitting agencies</w:t>
            </w:r>
          </w:p>
        </w:tc>
        <w:tc>
          <w:tcPr>
            <w:tcW w:w="3384" w:type="dxa"/>
            <w:shd w:val="clear" w:color="auto" w:fill="F7F9FA"/>
            <w:tcMar>
              <w:top w:w="100" w:type="dxa"/>
              <w:left w:w="120" w:type="dxa"/>
              <w:bottom w:w="100" w:type="dxa"/>
              <w:right w:w="120" w:type="dxa"/>
            </w:tcMar>
            <w:vAlign w:val="center"/>
          </w:tcPr>
          <w:p w14:paraId="7C75D3EA" w14:textId="77777777" w:rsidR="007E3836" w:rsidRDefault="00000000">
            <w:pPr>
              <w:spacing w:after="40" w:line="245" w:lineRule="auto"/>
            </w:pPr>
            <w:r>
              <w:rPr>
                <w:sz w:val="17"/>
              </w:rPr>
              <w:t>Environmental compliance and enforceable standards.</w:t>
            </w:r>
          </w:p>
        </w:tc>
        <w:tc>
          <w:tcPr>
            <w:tcW w:w="4104" w:type="dxa"/>
            <w:shd w:val="clear" w:color="auto" w:fill="F7F9FA"/>
            <w:tcMar>
              <w:top w:w="100" w:type="dxa"/>
              <w:left w:w="120" w:type="dxa"/>
              <w:bottom w:w="100" w:type="dxa"/>
              <w:right w:w="120" w:type="dxa"/>
            </w:tcMar>
            <w:vAlign w:val="center"/>
          </w:tcPr>
          <w:p w14:paraId="4F4FC09A" w14:textId="77777777" w:rsidR="007E3836" w:rsidRDefault="00000000">
            <w:pPr>
              <w:spacing w:after="40" w:line="245" w:lineRule="auto"/>
            </w:pPr>
            <w:r>
              <w:rPr>
                <w:sz w:val="17"/>
              </w:rPr>
              <w:t>Can the project meet the proposed schedule without shortcutting requirements?</w:t>
            </w:r>
          </w:p>
        </w:tc>
      </w:tr>
      <w:tr w:rsidR="007E3836" w14:paraId="738343E2" w14:textId="77777777">
        <w:trPr>
          <w:cantSplit/>
          <w:jc w:val="center"/>
        </w:trPr>
        <w:tc>
          <w:tcPr>
            <w:tcW w:w="2016" w:type="dxa"/>
            <w:tcMar>
              <w:top w:w="100" w:type="dxa"/>
              <w:left w:w="120" w:type="dxa"/>
              <w:bottom w:w="100" w:type="dxa"/>
              <w:right w:w="120" w:type="dxa"/>
            </w:tcMar>
            <w:vAlign w:val="center"/>
          </w:tcPr>
          <w:p w14:paraId="338740E6" w14:textId="77777777" w:rsidR="007E3836" w:rsidRDefault="00000000">
            <w:pPr>
              <w:spacing w:after="40" w:line="245" w:lineRule="auto"/>
            </w:pPr>
            <w:r>
              <w:rPr>
                <w:sz w:val="17"/>
              </w:rPr>
              <w:t>Ameren Illinois</w:t>
            </w:r>
          </w:p>
        </w:tc>
        <w:tc>
          <w:tcPr>
            <w:tcW w:w="3384" w:type="dxa"/>
            <w:tcMar>
              <w:top w:w="100" w:type="dxa"/>
              <w:left w:w="120" w:type="dxa"/>
              <w:bottom w:w="100" w:type="dxa"/>
              <w:right w:w="120" w:type="dxa"/>
            </w:tcMar>
            <w:vAlign w:val="center"/>
          </w:tcPr>
          <w:p w14:paraId="66D18541" w14:textId="77777777" w:rsidR="007E3836" w:rsidRDefault="00000000">
            <w:pPr>
              <w:spacing w:after="40" w:line="245" w:lineRule="auto"/>
            </w:pPr>
            <w:r>
              <w:rPr>
                <w:sz w:val="17"/>
              </w:rPr>
              <w:t>Service readiness, planning coordination, tariffs, and reliable operations.</w:t>
            </w:r>
          </w:p>
        </w:tc>
        <w:tc>
          <w:tcPr>
            <w:tcW w:w="4104" w:type="dxa"/>
            <w:tcMar>
              <w:top w:w="100" w:type="dxa"/>
              <w:left w:w="120" w:type="dxa"/>
              <w:bottom w:w="100" w:type="dxa"/>
              <w:right w:w="120" w:type="dxa"/>
            </w:tcMar>
            <w:vAlign w:val="center"/>
          </w:tcPr>
          <w:p w14:paraId="0EF1F651" w14:textId="77777777" w:rsidR="007E3836" w:rsidRDefault="00000000">
            <w:pPr>
              <w:spacing w:after="40" w:line="245" w:lineRule="auto"/>
            </w:pPr>
            <w:r>
              <w:rPr>
                <w:sz w:val="17"/>
              </w:rPr>
              <w:t>What must be true for the load and supply plans to remain synchronized?</w:t>
            </w:r>
          </w:p>
        </w:tc>
      </w:tr>
      <w:tr w:rsidR="007E3836" w14:paraId="7B5085DD" w14:textId="77777777">
        <w:trPr>
          <w:cantSplit/>
          <w:jc w:val="center"/>
        </w:trPr>
        <w:tc>
          <w:tcPr>
            <w:tcW w:w="2016" w:type="dxa"/>
            <w:shd w:val="clear" w:color="auto" w:fill="F7F9FA"/>
            <w:tcMar>
              <w:top w:w="100" w:type="dxa"/>
              <w:left w:w="120" w:type="dxa"/>
              <w:bottom w:w="100" w:type="dxa"/>
              <w:right w:w="120" w:type="dxa"/>
            </w:tcMar>
            <w:vAlign w:val="center"/>
          </w:tcPr>
          <w:p w14:paraId="0DD039BA" w14:textId="77777777" w:rsidR="007E3836" w:rsidRDefault="00000000">
            <w:pPr>
              <w:spacing w:after="40" w:line="245" w:lineRule="auto"/>
            </w:pPr>
            <w:r>
              <w:rPr>
                <w:sz w:val="17"/>
              </w:rPr>
              <w:t>Generators and developers</w:t>
            </w:r>
          </w:p>
        </w:tc>
        <w:tc>
          <w:tcPr>
            <w:tcW w:w="3384" w:type="dxa"/>
            <w:shd w:val="clear" w:color="auto" w:fill="F7F9FA"/>
            <w:tcMar>
              <w:top w:w="100" w:type="dxa"/>
              <w:left w:w="120" w:type="dxa"/>
              <w:bottom w:w="100" w:type="dxa"/>
              <w:right w:w="120" w:type="dxa"/>
            </w:tcMar>
            <w:vAlign w:val="center"/>
          </w:tcPr>
          <w:p w14:paraId="08435B88" w14:textId="77777777" w:rsidR="007E3836" w:rsidRDefault="00000000">
            <w:pPr>
              <w:spacing w:after="40" w:line="245" w:lineRule="auto"/>
            </w:pPr>
            <w:r>
              <w:rPr>
                <w:sz w:val="17"/>
              </w:rPr>
              <w:t>Permits, interconnection, revenue certainty, capital recovery, and schedule.</w:t>
            </w:r>
          </w:p>
        </w:tc>
        <w:tc>
          <w:tcPr>
            <w:tcW w:w="4104" w:type="dxa"/>
            <w:shd w:val="clear" w:color="auto" w:fill="F7F9FA"/>
            <w:tcMar>
              <w:top w:w="100" w:type="dxa"/>
              <w:left w:w="120" w:type="dxa"/>
              <w:bottom w:w="100" w:type="dxa"/>
              <w:right w:w="120" w:type="dxa"/>
            </w:tcMar>
            <w:vAlign w:val="center"/>
          </w:tcPr>
          <w:p w14:paraId="1B1B2469" w14:textId="77777777" w:rsidR="007E3836" w:rsidRDefault="00000000">
            <w:pPr>
              <w:spacing w:after="40" w:line="245" w:lineRule="auto"/>
            </w:pPr>
            <w:r>
              <w:rPr>
                <w:sz w:val="17"/>
              </w:rPr>
              <w:t>Which milestones are truly at risk, and what security backs them?</w:t>
            </w:r>
          </w:p>
        </w:tc>
      </w:tr>
      <w:tr w:rsidR="007E3836" w14:paraId="243DF994" w14:textId="77777777">
        <w:trPr>
          <w:cantSplit/>
          <w:jc w:val="center"/>
        </w:trPr>
        <w:tc>
          <w:tcPr>
            <w:tcW w:w="2016" w:type="dxa"/>
            <w:tcMar>
              <w:top w:w="100" w:type="dxa"/>
              <w:left w:w="120" w:type="dxa"/>
              <w:bottom w:w="100" w:type="dxa"/>
              <w:right w:w="120" w:type="dxa"/>
            </w:tcMar>
            <w:vAlign w:val="center"/>
          </w:tcPr>
          <w:p w14:paraId="5B2C788D" w14:textId="77777777" w:rsidR="007E3836" w:rsidRDefault="00000000">
            <w:pPr>
              <w:spacing w:after="40" w:line="245" w:lineRule="auto"/>
            </w:pPr>
            <w:r>
              <w:rPr>
                <w:sz w:val="17"/>
              </w:rPr>
              <w:t>Large-load customer</w:t>
            </w:r>
          </w:p>
        </w:tc>
        <w:tc>
          <w:tcPr>
            <w:tcW w:w="3384" w:type="dxa"/>
            <w:tcMar>
              <w:top w:w="100" w:type="dxa"/>
              <w:left w:w="120" w:type="dxa"/>
              <w:bottom w:w="100" w:type="dxa"/>
              <w:right w:w="120" w:type="dxa"/>
            </w:tcMar>
            <w:vAlign w:val="center"/>
          </w:tcPr>
          <w:p w14:paraId="5419B06F" w14:textId="77777777" w:rsidR="007E3836" w:rsidRDefault="00000000">
            <w:pPr>
              <w:spacing w:after="40" w:line="245" w:lineRule="auto"/>
            </w:pPr>
            <w:r>
              <w:rPr>
                <w:sz w:val="17"/>
              </w:rPr>
              <w:t>Speed to power, cost certainty, reliability, scalability, and confidentiality.</w:t>
            </w:r>
          </w:p>
        </w:tc>
        <w:tc>
          <w:tcPr>
            <w:tcW w:w="4104" w:type="dxa"/>
            <w:tcMar>
              <w:top w:w="100" w:type="dxa"/>
              <w:left w:w="120" w:type="dxa"/>
              <w:bottom w:w="100" w:type="dxa"/>
              <w:right w:w="120" w:type="dxa"/>
            </w:tcMar>
            <w:vAlign w:val="center"/>
          </w:tcPr>
          <w:p w14:paraId="78926BC9" w14:textId="77777777" w:rsidR="007E3836" w:rsidRDefault="00000000">
            <w:pPr>
              <w:spacing w:after="40" w:line="245" w:lineRule="auto"/>
            </w:pPr>
            <w:r>
              <w:rPr>
                <w:sz w:val="17"/>
              </w:rPr>
              <w:t>What load is firm, by when, and what obligation survives a change in plans?</w:t>
            </w:r>
          </w:p>
        </w:tc>
      </w:tr>
      <w:tr w:rsidR="007E3836" w14:paraId="4C31F18F" w14:textId="77777777">
        <w:trPr>
          <w:cantSplit/>
          <w:jc w:val="center"/>
        </w:trPr>
        <w:tc>
          <w:tcPr>
            <w:tcW w:w="2016" w:type="dxa"/>
            <w:shd w:val="clear" w:color="auto" w:fill="F7F9FA"/>
            <w:tcMar>
              <w:top w:w="100" w:type="dxa"/>
              <w:left w:w="120" w:type="dxa"/>
              <w:bottom w:w="100" w:type="dxa"/>
              <w:right w:w="120" w:type="dxa"/>
            </w:tcMar>
            <w:vAlign w:val="center"/>
          </w:tcPr>
          <w:p w14:paraId="789C6A78" w14:textId="77777777" w:rsidR="007E3836" w:rsidRDefault="00000000">
            <w:pPr>
              <w:spacing w:after="40" w:line="245" w:lineRule="auto"/>
            </w:pPr>
            <w:r>
              <w:rPr>
                <w:sz w:val="17"/>
              </w:rPr>
              <w:lastRenderedPageBreak/>
              <w:t>Legislators and local officials</w:t>
            </w:r>
          </w:p>
        </w:tc>
        <w:tc>
          <w:tcPr>
            <w:tcW w:w="3384" w:type="dxa"/>
            <w:shd w:val="clear" w:color="auto" w:fill="F7F9FA"/>
            <w:tcMar>
              <w:top w:w="100" w:type="dxa"/>
              <w:left w:w="120" w:type="dxa"/>
              <w:bottom w:w="100" w:type="dxa"/>
              <w:right w:w="120" w:type="dxa"/>
            </w:tcMar>
            <w:vAlign w:val="center"/>
          </w:tcPr>
          <w:p w14:paraId="23AD7748" w14:textId="77777777" w:rsidR="007E3836" w:rsidRDefault="00000000">
            <w:pPr>
              <w:spacing w:after="40" w:line="245" w:lineRule="auto"/>
            </w:pPr>
            <w:r>
              <w:rPr>
                <w:sz w:val="17"/>
              </w:rPr>
              <w:t>Jobs, tax base, affordability, reliability, land use, and constituent impact.</w:t>
            </w:r>
          </w:p>
        </w:tc>
        <w:tc>
          <w:tcPr>
            <w:tcW w:w="4104" w:type="dxa"/>
            <w:shd w:val="clear" w:color="auto" w:fill="F7F9FA"/>
            <w:tcMar>
              <w:top w:w="100" w:type="dxa"/>
              <w:left w:w="120" w:type="dxa"/>
              <w:bottom w:w="100" w:type="dxa"/>
              <w:right w:w="120" w:type="dxa"/>
            </w:tcMar>
            <w:vAlign w:val="center"/>
          </w:tcPr>
          <w:p w14:paraId="50C5B808" w14:textId="77777777" w:rsidR="007E3836" w:rsidRDefault="00000000">
            <w:pPr>
              <w:spacing w:after="40" w:line="245" w:lineRule="auto"/>
            </w:pPr>
            <w:r>
              <w:rPr>
                <w:sz w:val="17"/>
              </w:rPr>
              <w:t>What is the local benefit, local burden, and enforceable protection?</w:t>
            </w:r>
          </w:p>
        </w:tc>
      </w:tr>
      <w:tr w:rsidR="007E3836" w14:paraId="34E8C3BB" w14:textId="77777777">
        <w:trPr>
          <w:cantSplit/>
          <w:jc w:val="center"/>
        </w:trPr>
        <w:tc>
          <w:tcPr>
            <w:tcW w:w="2016" w:type="dxa"/>
            <w:tcMar>
              <w:top w:w="100" w:type="dxa"/>
              <w:left w:w="120" w:type="dxa"/>
              <w:bottom w:w="100" w:type="dxa"/>
              <w:right w:w="120" w:type="dxa"/>
            </w:tcMar>
            <w:vAlign w:val="center"/>
          </w:tcPr>
          <w:p w14:paraId="330CCEF2" w14:textId="77777777" w:rsidR="007E3836" w:rsidRDefault="00000000">
            <w:pPr>
              <w:spacing w:after="40" w:line="245" w:lineRule="auto"/>
            </w:pPr>
            <w:r>
              <w:rPr>
                <w:sz w:val="17"/>
              </w:rPr>
              <w:t>Consumer and environmental groups</w:t>
            </w:r>
          </w:p>
        </w:tc>
        <w:tc>
          <w:tcPr>
            <w:tcW w:w="3384" w:type="dxa"/>
            <w:tcMar>
              <w:top w:w="100" w:type="dxa"/>
              <w:left w:w="120" w:type="dxa"/>
              <w:bottom w:w="100" w:type="dxa"/>
              <w:right w:w="120" w:type="dxa"/>
            </w:tcMar>
            <w:vAlign w:val="center"/>
          </w:tcPr>
          <w:p w14:paraId="0D6BE525" w14:textId="77777777" w:rsidR="007E3836" w:rsidRDefault="00000000">
            <w:pPr>
              <w:spacing w:after="40" w:line="245" w:lineRule="auto"/>
            </w:pPr>
            <w:r>
              <w:rPr>
                <w:sz w:val="17"/>
              </w:rPr>
              <w:t>Bill impact, transparency, emissions, equity, and alternatives.</w:t>
            </w:r>
          </w:p>
        </w:tc>
        <w:tc>
          <w:tcPr>
            <w:tcW w:w="4104" w:type="dxa"/>
            <w:tcMar>
              <w:top w:w="100" w:type="dxa"/>
              <w:left w:w="120" w:type="dxa"/>
              <w:bottom w:w="100" w:type="dxa"/>
              <w:right w:w="120" w:type="dxa"/>
            </w:tcMar>
            <w:vAlign w:val="center"/>
          </w:tcPr>
          <w:p w14:paraId="7F427E00" w14:textId="77777777" w:rsidR="007E3836" w:rsidRDefault="00000000">
            <w:pPr>
              <w:spacing w:after="40" w:line="245" w:lineRule="auto"/>
            </w:pPr>
            <w:r>
              <w:rPr>
                <w:sz w:val="17"/>
              </w:rPr>
              <w:t>What lower-risk alternatives were tested and why were they insufficient?</w:t>
            </w:r>
          </w:p>
        </w:tc>
      </w:tr>
    </w:tbl>
    <w:p w14:paraId="60A9AEFA" w14:textId="77777777" w:rsidR="007E3836" w:rsidRDefault="007E3836">
      <w:pPr>
        <w:spacing w:after="20"/>
      </w:pPr>
    </w:p>
    <w:p w14:paraId="68AAA90D" w14:textId="77777777" w:rsidR="007E3836" w:rsidRDefault="00000000">
      <w:r>
        <w:br w:type="page"/>
      </w:r>
    </w:p>
    <w:p w14:paraId="286012A5" w14:textId="77777777" w:rsidR="007E3836" w:rsidRDefault="00FD0201" w:rsidP="00FD0201">
      <w:pPr>
        <w:pStyle w:val="Heading1"/>
      </w:pPr>
      <w:r w:rsidRPr="00FD0201">
        <w:lastRenderedPageBreak/>
        <w:t xml:space="preserve">7. </w:t>
      </w:r>
      <w:r>
        <w:t>Message Architecture</w:t>
      </w:r>
    </w:p>
    <w:p w14:paraId="6679E861" w14:textId="77777777" w:rsidR="007E3836" w:rsidRDefault="00000000">
      <w:r>
        <w:t>A strong explanation can be built in four sentences:</w:t>
      </w:r>
    </w:p>
    <w:tbl>
      <w:tblPr>
        <w:tblW w:w="0" w:type="auto"/>
        <w:jc w:val="center"/>
        <w:tblLayout w:type="fixed"/>
        <w:tblLook w:val="04A0" w:firstRow="1" w:lastRow="0" w:firstColumn="1" w:lastColumn="0" w:noHBand="0" w:noVBand="1"/>
      </w:tblPr>
      <w:tblGrid>
        <w:gridCol w:w="9936"/>
      </w:tblGrid>
      <w:tr w:rsidR="007E3836" w14:paraId="1FD1B252" w14:textId="77777777">
        <w:trPr>
          <w:jc w:val="center"/>
        </w:trPr>
        <w:tc>
          <w:tcPr>
            <w:tcW w:w="9936" w:type="dxa"/>
            <w:shd w:val="clear" w:color="auto" w:fill="EAF2F8"/>
            <w:tcMar>
              <w:top w:w="150" w:type="dxa"/>
              <w:left w:w="180" w:type="dxa"/>
              <w:bottom w:w="150" w:type="dxa"/>
              <w:right w:w="180" w:type="dxa"/>
            </w:tcMar>
          </w:tcPr>
          <w:p w14:paraId="534F15D8" w14:textId="77777777" w:rsidR="00FD0201" w:rsidRDefault="00FD0201" w:rsidP="00FD0201">
            <w:pPr>
              <w:pStyle w:val="ListNumber"/>
              <w:rPr>
                <w:kern w:val="2"/>
                <w:szCs w:val="20"/>
                <w14:ligatures w14:val="standardContextual"/>
              </w:rPr>
            </w:pPr>
            <w:r>
              <w:t>Need: State the verified reliability or load problem, including location and timing.</w:t>
            </w:r>
          </w:p>
          <w:p w14:paraId="1C05DD82" w14:textId="77777777" w:rsidR="00FD0201" w:rsidRDefault="00FD0201" w:rsidP="00FD0201">
            <w:pPr>
              <w:pStyle w:val="ListNumber"/>
            </w:pPr>
            <w:r>
              <w:t>Constraint: Explain why the ordinary process or existing resource mix may not meet the date.</w:t>
            </w:r>
          </w:p>
          <w:p w14:paraId="280F7621" w14:textId="77777777" w:rsidR="00FD0201" w:rsidRDefault="00FD0201" w:rsidP="00FD0201">
            <w:pPr>
              <w:pStyle w:val="ListNumber"/>
            </w:pPr>
            <w:r>
              <w:t>Solution: Describe the resource, interconnection pathway, and supporting tariff or procurement structure.</w:t>
            </w:r>
          </w:p>
          <w:p w14:paraId="7433A8C7" w14:textId="77777777" w:rsidR="00FD0201" w:rsidRDefault="00FD0201" w:rsidP="00FD0201">
            <w:pPr>
              <w:pStyle w:val="ListNumber"/>
            </w:pPr>
            <w:r>
              <w:t>Protection: Identify who pays, what milestones apply, what happens if assumptions change, and how the public can evaluate performance.</w:t>
            </w:r>
          </w:p>
          <w:p w14:paraId="66A33FC1" w14:textId="77777777" w:rsidR="007E3836" w:rsidRDefault="00000000">
            <w:pPr>
              <w:spacing w:after="40" w:line="245" w:lineRule="auto"/>
            </w:pPr>
            <w:r>
              <w:rPr>
                <w:b/>
                <w:color w:val="17365D"/>
                <w:sz w:val="22"/>
              </w:rPr>
              <w:t>Example</w:t>
            </w:r>
            <w:r>
              <w:rPr>
                <w:b/>
                <w:color w:val="17365D"/>
                <w:sz w:val="22"/>
              </w:rPr>
              <w:br/>
            </w:r>
            <w:r>
              <w:rPr>
                <w:sz w:val="19"/>
              </w:rPr>
              <w:t>“The issue is not simply adding megawatts. The need is dependable capacity in the right location and season, synchronized with a credible customer schedule. ERAS can accelerate the interconnection agreement for a qualifying project, but permits, fuel, transmission construction, financing, and accreditation still determine whether it becomes useful capacity. Any policy response should therefore pair speed with milestone discipline, transparent verification, and protection for customers if the load or project does not materialize.”</w:t>
            </w:r>
          </w:p>
        </w:tc>
      </w:tr>
    </w:tbl>
    <w:p w14:paraId="7646FF02" w14:textId="77777777" w:rsidR="00FD0201" w:rsidRDefault="00FD0201">
      <w:pPr>
        <w:rPr>
          <w:kern w:val="2"/>
          <w:szCs w:val="20"/>
          <w14:ligatures w14:val="standardContextual"/>
        </w:rPr>
      </w:pPr>
      <w:r>
        <w:t>This structure keeps the message balanced. It starts with the problem, explains the constraint, avoids overselling the remedy, and ends with accountability.</w:t>
      </w:r>
    </w:p>
    <w:p w14:paraId="4AB2BA25" w14:textId="77777777" w:rsidR="007E3836" w:rsidRDefault="007E3836">
      <w:pPr>
        <w:spacing w:after="20"/>
      </w:pPr>
    </w:p>
    <w:p w14:paraId="459C0CC9" w14:textId="77777777" w:rsidR="007E3836" w:rsidRDefault="00000000">
      <w:pPr>
        <w:pStyle w:val="Heading2"/>
      </w:pPr>
      <w:r>
        <w:t>Negotiation Levers</w:t>
      </w:r>
    </w:p>
    <w:p w14:paraId="0EA351B7" w14:textId="77777777" w:rsidR="007E3836" w:rsidRDefault="00000000">
      <w:pPr>
        <w:pStyle w:val="ListBullet"/>
      </w:pPr>
      <w:r>
        <w:t>Milestones: tie service, procurement, or approvals to measurable load and project progress.</w:t>
      </w:r>
    </w:p>
    <w:p w14:paraId="2A829307" w14:textId="77777777" w:rsidR="007E3836" w:rsidRDefault="00000000">
      <w:pPr>
        <w:pStyle w:val="ListBullet"/>
      </w:pPr>
      <w:r>
        <w:t>Security: deposits, collateral, letters of credit, minimum bills, or exit payments.</w:t>
      </w:r>
    </w:p>
    <w:p w14:paraId="6E4F3A33" w14:textId="77777777" w:rsidR="007E3836" w:rsidRDefault="00000000">
      <w:pPr>
        <w:pStyle w:val="ListBullet"/>
      </w:pPr>
      <w:r>
        <w:t>Phasing: energize load in steps as network and supply capability becomes available.</w:t>
      </w:r>
    </w:p>
    <w:p w14:paraId="70789B61" w14:textId="77777777" w:rsidR="007E3836" w:rsidRDefault="00000000">
      <w:pPr>
        <w:pStyle w:val="ListBullet"/>
      </w:pPr>
      <w:r>
        <w:t>Flexibility: interruptible service, demand response, backup arrangements, or operational curtailment where appropriate.</w:t>
      </w:r>
    </w:p>
    <w:p w14:paraId="5DEDC4F5" w14:textId="77777777" w:rsidR="007E3836" w:rsidRDefault="00000000">
      <w:pPr>
        <w:pStyle w:val="ListBullet"/>
      </w:pPr>
      <w:r>
        <w:t>Cost allocation: separate directly caused facilities from broader regional facilities and document the rationale.</w:t>
      </w:r>
    </w:p>
    <w:p w14:paraId="05A9DA6D" w14:textId="77777777" w:rsidR="007E3836" w:rsidRDefault="00000000">
      <w:pPr>
        <w:pStyle w:val="ListBullet"/>
      </w:pPr>
      <w:r>
        <w:t>Sunset and review: require periodic reassessment of temporary or experimental authority.</w:t>
      </w:r>
    </w:p>
    <w:p w14:paraId="602D3EE5" w14:textId="77777777" w:rsidR="007E3836" w:rsidRDefault="00000000">
      <w:pPr>
        <w:pStyle w:val="ListBullet"/>
      </w:pPr>
      <w:r>
        <w:t>Transparency: publish aggregate status without disclosing protected customer information.</w:t>
      </w:r>
    </w:p>
    <w:p w14:paraId="42D2B2FB" w14:textId="77777777" w:rsidR="007E3836" w:rsidRDefault="00000000">
      <w:pPr>
        <w:pStyle w:val="ListBullet"/>
      </w:pPr>
      <w:r>
        <w:t>Fallbacks: specify replacement capacity, delayed service, or alternative configurations before a failure occurs.</w:t>
      </w:r>
    </w:p>
    <w:p w14:paraId="28290E38" w14:textId="77777777" w:rsidR="007E3836" w:rsidRDefault="00000000">
      <w:pPr>
        <w:pStyle w:val="Heading2"/>
      </w:pPr>
      <w:r>
        <w:t>Red Flags in Briefings</w:t>
      </w:r>
    </w:p>
    <w:p w14:paraId="4A133550" w14:textId="77777777" w:rsidR="007E3836" w:rsidRDefault="00000000">
      <w:pPr>
        <w:pStyle w:val="ListBullet"/>
      </w:pPr>
      <w:r>
        <w:t>“The project is approved” when only a study or GIA milestone has been completed.</w:t>
      </w:r>
    </w:p>
    <w:p w14:paraId="5DF11607" w14:textId="77777777" w:rsidR="007E3836" w:rsidRDefault="00000000">
      <w:pPr>
        <w:pStyle w:val="ListBullet"/>
      </w:pPr>
      <w:r>
        <w:t>Using nameplate MW as if it equals seasonal accredited capacity.</w:t>
      </w:r>
    </w:p>
    <w:p w14:paraId="04E6EDD4" w14:textId="77777777" w:rsidR="007E3836" w:rsidRDefault="00000000">
      <w:pPr>
        <w:pStyle w:val="ListBullet"/>
      </w:pPr>
      <w:r>
        <w:t>Treating an executed GIA as proof of financing or construction readiness.</w:t>
      </w:r>
    </w:p>
    <w:p w14:paraId="2A3E84FB" w14:textId="77777777" w:rsidR="007E3836" w:rsidRDefault="00000000">
      <w:pPr>
        <w:pStyle w:val="ListBullet"/>
      </w:pPr>
      <w:r>
        <w:t>Assuming a data center announcement is equivalent to a planning-grade load commitment.</w:t>
      </w:r>
    </w:p>
    <w:p w14:paraId="3B80560B" w14:textId="77777777" w:rsidR="007E3836" w:rsidRDefault="00000000">
      <w:pPr>
        <w:pStyle w:val="ListBullet"/>
      </w:pPr>
      <w:r>
        <w:t>Describing batteries without duration, charging source, degradation, or accreditation context.</w:t>
      </w:r>
    </w:p>
    <w:p w14:paraId="4571BB10" w14:textId="77777777" w:rsidR="007E3836" w:rsidRDefault="00000000">
      <w:pPr>
        <w:pStyle w:val="ListBullet"/>
      </w:pPr>
      <w:r>
        <w:t>Describing gas as firm without addressing pipeline and winter conditions.</w:t>
      </w:r>
    </w:p>
    <w:p w14:paraId="37223133" w14:textId="77777777" w:rsidR="007E3836" w:rsidRDefault="00000000">
      <w:pPr>
        <w:pStyle w:val="ListBullet"/>
      </w:pPr>
      <w:r>
        <w:t>Treating the PRA clearing price as the full cost of new generation.</w:t>
      </w:r>
    </w:p>
    <w:p w14:paraId="35C649F2" w14:textId="77777777" w:rsidR="007E3836" w:rsidRDefault="00000000">
      <w:pPr>
        <w:pStyle w:val="ListBullet"/>
      </w:pPr>
      <w:r>
        <w:t>Claiming “no customer impact” without explaining direct, network, stranded, and risk costs.</w:t>
      </w:r>
    </w:p>
    <w:p w14:paraId="130F8948" w14:textId="77777777" w:rsidR="007E3836" w:rsidRDefault="00000000">
      <w:pPr>
        <w:pStyle w:val="ListBullet"/>
      </w:pPr>
      <w:r>
        <w:t>Using regional MW totals to answer a local-zone or transmission-constraint problem.</w:t>
      </w:r>
    </w:p>
    <w:p w14:paraId="561243C1" w14:textId="77777777" w:rsidR="007E3836" w:rsidRDefault="00000000">
      <w:r>
        <w:br w:type="page"/>
      </w:r>
    </w:p>
    <w:p w14:paraId="314C7810" w14:textId="77777777" w:rsidR="007E3836" w:rsidRDefault="00971D92" w:rsidP="00971D92">
      <w:pPr>
        <w:pStyle w:val="Heading1"/>
      </w:pPr>
      <w:r w:rsidRPr="00971D92">
        <w:lastRenderedPageBreak/>
        <w:t>8. Working Tools and Reference Material</w:t>
      </w:r>
    </w:p>
    <w:p w14:paraId="3C5AAC6E" w14:textId="77777777" w:rsidR="007E3836" w:rsidRDefault="00000000">
      <w:pPr>
        <w:pStyle w:val="Heading2"/>
      </w:pPr>
      <w:r>
        <w:t>Executive Question Set</w:t>
      </w:r>
    </w:p>
    <w:tbl>
      <w:tblPr>
        <w:tblStyle w:val="TableGrid"/>
        <w:tblW w:w="0" w:type="auto"/>
        <w:jc w:val="center"/>
        <w:tblLayout w:type="fixed"/>
        <w:tblLook w:val="04A0" w:firstRow="1" w:lastRow="0" w:firstColumn="1" w:lastColumn="0" w:noHBand="0" w:noVBand="1"/>
      </w:tblPr>
      <w:tblGrid>
        <w:gridCol w:w="1872"/>
        <w:gridCol w:w="7776"/>
      </w:tblGrid>
      <w:tr w:rsidR="007E3836" w14:paraId="1F4C88BB" w14:textId="77777777">
        <w:trPr>
          <w:tblHeader/>
          <w:jc w:val="center"/>
        </w:trPr>
        <w:tc>
          <w:tcPr>
            <w:tcW w:w="1872" w:type="dxa"/>
            <w:shd w:val="clear" w:color="auto" w:fill="17365D"/>
            <w:tcMar>
              <w:top w:w="100" w:type="dxa"/>
              <w:left w:w="120" w:type="dxa"/>
              <w:bottom w:w="100" w:type="dxa"/>
              <w:right w:w="120" w:type="dxa"/>
            </w:tcMar>
            <w:vAlign w:val="center"/>
          </w:tcPr>
          <w:p w14:paraId="7D95CBCD" w14:textId="77777777" w:rsidR="007E3836" w:rsidRDefault="00000000">
            <w:pPr>
              <w:spacing w:after="40" w:line="245" w:lineRule="auto"/>
            </w:pPr>
            <w:r>
              <w:rPr>
                <w:b/>
                <w:color w:val="FFFFFF"/>
                <w:sz w:val="17"/>
              </w:rPr>
              <w:t>Category</w:t>
            </w:r>
          </w:p>
        </w:tc>
        <w:tc>
          <w:tcPr>
            <w:tcW w:w="7776" w:type="dxa"/>
            <w:shd w:val="clear" w:color="auto" w:fill="17365D"/>
            <w:tcMar>
              <w:top w:w="100" w:type="dxa"/>
              <w:left w:w="120" w:type="dxa"/>
              <w:bottom w:w="100" w:type="dxa"/>
              <w:right w:w="120" w:type="dxa"/>
            </w:tcMar>
            <w:vAlign w:val="center"/>
          </w:tcPr>
          <w:p w14:paraId="76B8817D" w14:textId="77777777" w:rsidR="007E3836" w:rsidRDefault="00000000">
            <w:pPr>
              <w:spacing w:after="40" w:line="245" w:lineRule="auto"/>
            </w:pPr>
            <w:r>
              <w:rPr>
                <w:b/>
                <w:color w:val="FFFFFF"/>
                <w:sz w:val="17"/>
              </w:rPr>
              <w:t>Questions to ask</w:t>
            </w:r>
          </w:p>
        </w:tc>
      </w:tr>
      <w:tr w:rsidR="007E3836" w14:paraId="2261DD93" w14:textId="77777777">
        <w:trPr>
          <w:cantSplit/>
          <w:jc w:val="center"/>
        </w:trPr>
        <w:tc>
          <w:tcPr>
            <w:tcW w:w="1872" w:type="dxa"/>
            <w:tcMar>
              <w:top w:w="100" w:type="dxa"/>
              <w:left w:w="120" w:type="dxa"/>
              <w:bottom w:w="100" w:type="dxa"/>
              <w:right w:w="120" w:type="dxa"/>
            </w:tcMar>
            <w:vAlign w:val="center"/>
          </w:tcPr>
          <w:p w14:paraId="56262C33" w14:textId="77777777" w:rsidR="007E3836" w:rsidRDefault="00000000">
            <w:pPr>
              <w:spacing w:after="40" w:line="245" w:lineRule="auto"/>
            </w:pPr>
            <w:r>
              <w:rPr>
                <w:sz w:val="17"/>
              </w:rPr>
              <w:t>Need</w:t>
            </w:r>
          </w:p>
        </w:tc>
        <w:tc>
          <w:tcPr>
            <w:tcW w:w="7776" w:type="dxa"/>
            <w:tcMar>
              <w:top w:w="100" w:type="dxa"/>
              <w:left w:w="120" w:type="dxa"/>
              <w:bottom w:w="100" w:type="dxa"/>
              <w:right w:w="120" w:type="dxa"/>
            </w:tcMar>
            <w:vAlign w:val="center"/>
          </w:tcPr>
          <w:p w14:paraId="117A7832" w14:textId="77777777" w:rsidR="007E3836" w:rsidRDefault="00000000">
            <w:pPr>
              <w:spacing w:after="40" w:line="245" w:lineRule="auto"/>
            </w:pPr>
            <w:r>
              <w:rPr>
                <w:sz w:val="17"/>
              </w:rPr>
              <w:t>What exact deficiency or load addition is being addressed? Who verified it? In which LRZ and season?</w:t>
            </w:r>
          </w:p>
        </w:tc>
      </w:tr>
      <w:tr w:rsidR="007E3836" w14:paraId="3715A1BD" w14:textId="77777777">
        <w:trPr>
          <w:cantSplit/>
          <w:jc w:val="center"/>
        </w:trPr>
        <w:tc>
          <w:tcPr>
            <w:tcW w:w="1872" w:type="dxa"/>
            <w:shd w:val="clear" w:color="auto" w:fill="F7F9FA"/>
            <w:tcMar>
              <w:top w:w="100" w:type="dxa"/>
              <w:left w:w="120" w:type="dxa"/>
              <w:bottom w:w="100" w:type="dxa"/>
              <w:right w:w="120" w:type="dxa"/>
            </w:tcMar>
            <w:vAlign w:val="center"/>
          </w:tcPr>
          <w:p w14:paraId="1F7E07DA" w14:textId="77777777" w:rsidR="007E3836" w:rsidRDefault="00000000">
            <w:pPr>
              <w:spacing w:after="40" w:line="245" w:lineRule="auto"/>
            </w:pPr>
            <w:r>
              <w:rPr>
                <w:sz w:val="17"/>
              </w:rPr>
              <w:t>Timing</w:t>
            </w:r>
          </w:p>
        </w:tc>
        <w:tc>
          <w:tcPr>
            <w:tcW w:w="7776" w:type="dxa"/>
            <w:shd w:val="clear" w:color="auto" w:fill="F7F9FA"/>
            <w:tcMar>
              <w:top w:w="100" w:type="dxa"/>
              <w:left w:w="120" w:type="dxa"/>
              <w:bottom w:w="100" w:type="dxa"/>
              <w:right w:w="120" w:type="dxa"/>
            </w:tcMar>
            <w:vAlign w:val="center"/>
          </w:tcPr>
          <w:p w14:paraId="40FFF98E" w14:textId="77777777" w:rsidR="007E3836" w:rsidRDefault="00000000">
            <w:pPr>
              <w:spacing w:after="40" w:line="245" w:lineRule="auto"/>
            </w:pPr>
            <w:r>
              <w:rPr>
                <w:sz w:val="17"/>
              </w:rPr>
              <w:t>When must service begin? What are the generation, network-upgrade, permit, fuel, and customer milestones?</w:t>
            </w:r>
          </w:p>
        </w:tc>
      </w:tr>
      <w:tr w:rsidR="007E3836" w14:paraId="50F8A259" w14:textId="77777777">
        <w:trPr>
          <w:cantSplit/>
          <w:jc w:val="center"/>
        </w:trPr>
        <w:tc>
          <w:tcPr>
            <w:tcW w:w="1872" w:type="dxa"/>
            <w:tcMar>
              <w:top w:w="100" w:type="dxa"/>
              <w:left w:w="120" w:type="dxa"/>
              <w:bottom w:w="100" w:type="dxa"/>
              <w:right w:w="120" w:type="dxa"/>
            </w:tcMar>
            <w:vAlign w:val="center"/>
          </w:tcPr>
          <w:p w14:paraId="53EAB1BE" w14:textId="77777777" w:rsidR="007E3836" w:rsidRDefault="00000000">
            <w:pPr>
              <w:spacing w:after="40" w:line="245" w:lineRule="auto"/>
            </w:pPr>
            <w:r>
              <w:rPr>
                <w:sz w:val="17"/>
              </w:rPr>
              <w:t>Resource fit</w:t>
            </w:r>
          </w:p>
        </w:tc>
        <w:tc>
          <w:tcPr>
            <w:tcW w:w="7776" w:type="dxa"/>
            <w:tcMar>
              <w:top w:w="100" w:type="dxa"/>
              <w:left w:w="120" w:type="dxa"/>
              <w:bottom w:w="100" w:type="dxa"/>
              <w:right w:w="120" w:type="dxa"/>
            </w:tcMar>
            <w:vAlign w:val="center"/>
          </w:tcPr>
          <w:p w14:paraId="6DB196F2" w14:textId="77777777" w:rsidR="007E3836" w:rsidRDefault="00000000">
            <w:pPr>
              <w:spacing w:after="40" w:line="245" w:lineRule="auto"/>
            </w:pPr>
            <w:r>
              <w:rPr>
                <w:sz w:val="17"/>
              </w:rPr>
              <w:t>What duty cycle, duration, start capability, fuel assurance, and seasonal accreditation are required?</w:t>
            </w:r>
          </w:p>
        </w:tc>
      </w:tr>
      <w:tr w:rsidR="007E3836" w14:paraId="214C0A41" w14:textId="77777777">
        <w:trPr>
          <w:cantSplit/>
          <w:jc w:val="center"/>
        </w:trPr>
        <w:tc>
          <w:tcPr>
            <w:tcW w:w="1872" w:type="dxa"/>
            <w:shd w:val="clear" w:color="auto" w:fill="F7F9FA"/>
            <w:tcMar>
              <w:top w:w="100" w:type="dxa"/>
              <w:left w:w="120" w:type="dxa"/>
              <w:bottom w:w="100" w:type="dxa"/>
              <w:right w:w="120" w:type="dxa"/>
            </w:tcMar>
            <w:vAlign w:val="center"/>
          </w:tcPr>
          <w:p w14:paraId="6D79017A" w14:textId="77777777" w:rsidR="007E3836" w:rsidRDefault="00000000">
            <w:pPr>
              <w:spacing w:after="40" w:line="245" w:lineRule="auto"/>
            </w:pPr>
            <w:r>
              <w:rPr>
                <w:sz w:val="17"/>
              </w:rPr>
              <w:t>Interconnection</w:t>
            </w:r>
          </w:p>
        </w:tc>
        <w:tc>
          <w:tcPr>
            <w:tcW w:w="7776" w:type="dxa"/>
            <w:shd w:val="clear" w:color="auto" w:fill="F7F9FA"/>
            <w:tcMar>
              <w:top w:w="100" w:type="dxa"/>
              <w:left w:w="120" w:type="dxa"/>
              <w:bottom w:w="100" w:type="dxa"/>
              <w:right w:w="120" w:type="dxa"/>
            </w:tcMar>
            <w:vAlign w:val="center"/>
          </w:tcPr>
          <w:p w14:paraId="563A9AA8" w14:textId="77777777" w:rsidR="007E3836" w:rsidRDefault="00000000">
            <w:pPr>
              <w:spacing w:after="40" w:line="245" w:lineRule="auto"/>
            </w:pPr>
            <w:r>
              <w:rPr>
                <w:sz w:val="17"/>
              </w:rPr>
              <w:t>Is the project standard DPP or ERAS? What does the study show? What remains before commercial operation?</w:t>
            </w:r>
          </w:p>
        </w:tc>
      </w:tr>
      <w:tr w:rsidR="007E3836" w14:paraId="680CFF12" w14:textId="77777777">
        <w:trPr>
          <w:cantSplit/>
          <w:jc w:val="center"/>
        </w:trPr>
        <w:tc>
          <w:tcPr>
            <w:tcW w:w="1872" w:type="dxa"/>
            <w:tcMar>
              <w:top w:w="100" w:type="dxa"/>
              <w:left w:w="120" w:type="dxa"/>
              <w:bottom w:w="100" w:type="dxa"/>
              <w:right w:w="120" w:type="dxa"/>
            </w:tcMar>
            <w:vAlign w:val="center"/>
          </w:tcPr>
          <w:p w14:paraId="7D3236AD" w14:textId="77777777" w:rsidR="007E3836" w:rsidRDefault="00000000">
            <w:pPr>
              <w:spacing w:after="40" w:line="245" w:lineRule="auto"/>
            </w:pPr>
            <w:r>
              <w:rPr>
                <w:sz w:val="17"/>
              </w:rPr>
              <w:t>Economics</w:t>
            </w:r>
          </w:p>
        </w:tc>
        <w:tc>
          <w:tcPr>
            <w:tcW w:w="7776" w:type="dxa"/>
            <w:tcMar>
              <w:top w:w="100" w:type="dxa"/>
              <w:left w:w="120" w:type="dxa"/>
              <w:bottom w:w="100" w:type="dxa"/>
              <w:right w:w="120" w:type="dxa"/>
            </w:tcMar>
            <w:vAlign w:val="center"/>
          </w:tcPr>
          <w:p w14:paraId="0A688D9A" w14:textId="77777777" w:rsidR="007E3836" w:rsidRDefault="00000000">
            <w:pPr>
              <w:spacing w:after="40" w:line="245" w:lineRule="auto"/>
            </w:pPr>
            <w:r>
              <w:rPr>
                <w:sz w:val="17"/>
              </w:rPr>
              <w:t>What is contracted versus merchant? What is the expected revenue stack? Who bears overruns and rule changes?</w:t>
            </w:r>
          </w:p>
        </w:tc>
      </w:tr>
      <w:tr w:rsidR="007E3836" w14:paraId="3468FA10" w14:textId="77777777">
        <w:trPr>
          <w:cantSplit/>
          <w:jc w:val="center"/>
        </w:trPr>
        <w:tc>
          <w:tcPr>
            <w:tcW w:w="1872" w:type="dxa"/>
            <w:shd w:val="clear" w:color="auto" w:fill="F7F9FA"/>
            <w:tcMar>
              <w:top w:w="100" w:type="dxa"/>
              <w:left w:w="120" w:type="dxa"/>
              <w:bottom w:w="100" w:type="dxa"/>
              <w:right w:w="120" w:type="dxa"/>
            </w:tcMar>
            <w:vAlign w:val="center"/>
          </w:tcPr>
          <w:p w14:paraId="55A2433C" w14:textId="77777777" w:rsidR="007E3836" w:rsidRDefault="00000000">
            <w:pPr>
              <w:spacing w:after="40" w:line="245" w:lineRule="auto"/>
            </w:pPr>
            <w:r>
              <w:rPr>
                <w:sz w:val="17"/>
              </w:rPr>
              <w:t>Customer protection</w:t>
            </w:r>
          </w:p>
        </w:tc>
        <w:tc>
          <w:tcPr>
            <w:tcW w:w="7776" w:type="dxa"/>
            <w:shd w:val="clear" w:color="auto" w:fill="F7F9FA"/>
            <w:tcMar>
              <w:top w:w="100" w:type="dxa"/>
              <w:left w:w="120" w:type="dxa"/>
              <w:bottom w:w="100" w:type="dxa"/>
              <w:right w:w="120" w:type="dxa"/>
            </w:tcMar>
            <w:vAlign w:val="center"/>
          </w:tcPr>
          <w:p w14:paraId="4CFA2BA3" w14:textId="77777777" w:rsidR="007E3836" w:rsidRDefault="00000000">
            <w:pPr>
              <w:spacing w:after="40" w:line="245" w:lineRule="auto"/>
            </w:pPr>
            <w:r>
              <w:rPr>
                <w:sz w:val="17"/>
              </w:rPr>
              <w:t>What security exists if the load or project is delayed, downsized, or canceled?</w:t>
            </w:r>
          </w:p>
        </w:tc>
      </w:tr>
      <w:tr w:rsidR="007E3836" w14:paraId="06165004" w14:textId="77777777">
        <w:trPr>
          <w:cantSplit/>
          <w:jc w:val="center"/>
        </w:trPr>
        <w:tc>
          <w:tcPr>
            <w:tcW w:w="1872" w:type="dxa"/>
            <w:tcMar>
              <w:top w:w="100" w:type="dxa"/>
              <w:left w:w="120" w:type="dxa"/>
              <w:bottom w:w="100" w:type="dxa"/>
              <w:right w:w="120" w:type="dxa"/>
            </w:tcMar>
            <w:vAlign w:val="center"/>
          </w:tcPr>
          <w:p w14:paraId="3A4DF63A" w14:textId="77777777" w:rsidR="007E3836" w:rsidRDefault="00000000">
            <w:pPr>
              <w:spacing w:after="40" w:line="245" w:lineRule="auto"/>
            </w:pPr>
            <w:r>
              <w:rPr>
                <w:sz w:val="17"/>
              </w:rPr>
              <w:t>Authority</w:t>
            </w:r>
          </w:p>
        </w:tc>
        <w:tc>
          <w:tcPr>
            <w:tcW w:w="7776" w:type="dxa"/>
            <w:tcMar>
              <w:top w:w="100" w:type="dxa"/>
              <w:left w:w="120" w:type="dxa"/>
              <w:bottom w:w="100" w:type="dxa"/>
              <w:right w:w="120" w:type="dxa"/>
            </w:tcMar>
            <w:vAlign w:val="center"/>
          </w:tcPr>
          <w:p w14:paraId="5BEBF4AC" w14:textId="77777777" w:rsidR="007E3836" w:rsidRDefault="00000000">
            <w:pPr>
              <w:spacing w:after="40" w:line="245" w:lineRule="auto"/>
            </w:pPr>
            <w:r>
              <w:rPr>
                <w:sz w:val="17"/>
              </w:rPr>
              <w:t>Which decisions belong to MISO, FERC, ICC, IPA, IEPA, the utility, local government, or the legislature?</w:t>
            </w:r>
          </w:p>
        </w:tc>
      </w:tr>
      <w:tr w:rsidR="007E3836" w14:paraId="10E748DB" w14:textId="77777777">
        <w:trPr>
          <w:cantSplit/>
          <w:jc w:val="center"/>
        </w:trPr>
        <w:tc>
          <w:tcPr>
            <w:tcW w:w="1872" w:type="dxa"/>
            <w:shd w:val="clear" w:color="auto" w:fill="F7F9FA"/>
            <w:tcMar>
              <w:top w:w="100" w:type="dxa"/>
              <w:left w:w="120" w:type="dxa"/>
              <w:bottom w:w="100" w:type="dxa"/>
              <w:right w:w="120" w:type="dxa"/>
            </w:tcMar>
            <w:vAlign w:val="center"/>
          </w:tcPr>
          <w:p w14:paraId="210861A7" w14:textId="77777777" w:rsidR="007E3836" w:rsidRDefault="00000000">
            <w:pPr>
              <w:spacing w:after="40" w:line="245" w:lineRule="auto"/>
            </w:pPr>
            <w:r>
              <w:rPr>
                <w:sz w:val="17"/>
              </w:rPr>
              <w:t>Alternatives</w:t>
            </w:r>
          </w:p>
        </w:tc>
        <w:tc>
          <w:tcPr>
            <w:tcW w:w="7776" w:type="dxa"/>
            <w:shd w:val="clear" w:color="auto" w:fill="F7F9FA"/>
            <w:tcMar>
              <w:top w:w="100" w:type="dxa"/>
              <w:left w:w="120" w:type="dxa"/>
              <w:bottom w:w="100" w:type="dxa"/>
              <w:right w:w="120" w:type="dxa"/>
            </w:tcMar>
            <w:vAlign w:val="center"/>
          </w:tcPr>
          <w:p w14:paraId="5996FFFC" w14:textId="77777777" w:rsidR="007E3836" w:rsidRDefault="00000000">
            <w:pPr>
              <w:spacing w:after="40" w:line="245" w:lineRule="auto"/>
            </w:pPr>
            <w:r>
              <w:rPr>
                <w:sz w:val="17"/>
              </w:rPr>
              <w:t>Were transmission, demand response, phased load, storage, bilateral capacity, and different sites tested?</w:t>
            </w:r>
          </w:p>
        </w:tc>
      </w:tr>
      <w:tr w:rsidR="007E3836" w14:paraId="7F473C71" w14:textId="77777777">
        <w:trPr>
          <w:cantSplit/>
          <w:jc w:val="center"/>
        </w:trPr>
        <w:tc>
          <w:tcPr>
            <w:tcW w:w="1872" w:type="dxa"/>
            <w:tcMar>
              <w:top w:w="100" w:type="dxa"/>
              <w:left w:w="120" w:type="dxa"/>
              <w:bottom w:w="100" w:type="dxa"/>
              <w:right w:w="120" w:type="dxa"/>
            </w:tcMar>
            <w:vAlign w:val="center"/>
          </w:tcPr>
          <w:p w14:paraId="13E2B907" w14:textId="77777777" w:rsidR="007E3836" w:rsidRDefault="00000000">
            <w:pPr>
              <w:spacing w:after="40" w:line="245" w:lineRule="auto"/>
            </w:pPr>
            <w:r>
              <w:rPr>
                <w:sz w:val="17"/>
              </w:rPr>
              <w:t>Accountability</w:t>
            </w:r>
          </w:p>
        </w:tc>
        <w:tc>
          <w:tcPr>
            <w:tcW w:w="7776" w:type="dxa"/>
            <w:tcMar>
              <w:top w:w="100" w:type="dxa"/>
              <w:left w:w="120" w:type="dxa"/>
              <w:bottom w:w="100" w:type="dxa"/>
              <w:right w:w="120" w:type="dxa"/>
            </w:tcMar>
            <w:vAlign w:val="center"/>
          </w:tcPr>
          <w:p w14:paraId="7BE0EF3F" w14:textId="77777777" w:rsidR="007E3836" w:rsidRDefault="00000000">
            <w:pPr>
              <w:spacing w:after="40" w:line="245" w:lineRule="auto"/>
            </w:pPr>
            <w:r>
              <w:rPr>
                <w:sz w:val="17"/>
              </w:rPr>
              <w:t>What will be reported, how often, against which milestones, and with what remedy?</w:t>
            </w:r>
          </w:p>
        </w:tc>
      </w:tr>
    </w:tbl>
    <w:p w14:paraId="6AE6C54B" w14:textId="77777777" w:rsidR="007E3836" w:rsidRDefault="007E3836">
      <w:pPr>
        <w:spacing w:after="20"/>
      </w:pPr>
    </w:p>
    <w:p w14:paraId="322BAD08" w14:textId="77777777" w:rsidR="007E3836" w:rsidRDefault="00000000">
      <w:pPr>
        <w:pStyle w:val="Heading2"/>
      </w:pPr>
      <w:r>
        <w:t>One-Page Project Screen</w:t>
      </w:r>
    </w:p>
    <w:p w14:paraId="5099DD34" w14:textId="77777777" w:rsidR="007E3836" w:rsidRDefault="00000000">
      <w:pPr>
        <w:pStyle w:val="ListBullet"/>
      </w:pPr>
      <w:r>
        <w:t>Project and sponsor:</w:t>
      </w:r>
    </w:p>
    <w:p w14:paraId="39C7F0CD" w14:textId="77777777" w:rsidR="007E3836" w:rsidRDefault="00000000">
      <w:pPr>
        <w:pStyle w:val="ListBullet"/>
      </w:pPr>
      <w:r>
        <w:t>Resource type, nameplate MW, duration if storage, and expected accredited value:</w:t>
      </w:r>
    </w:p>
    <w:p w14:paraId="466DCB4E" w14:textId="77777777" w:rsidR="007E3836" w:rsidRDefault="00000000">
      <w:pPr>
        <w:pStyle w:val="ListBullet"/>
      </w:pPr>
      <w:r>
        <w:t>Location, point of interconnection, and Local Resource Zone:</w:t>
      </w:r>
    </w:p>
    <w:p w14:paraId="7D1D3936" w14:textId="77777777" w:rsidR="007E3836" w:rsidRDefault="00000000">
      <w:pPr>
        <w:pStyle w:val="ListBullet"/>
      </w:pPr>
      <w:r>
        <w:t>Need served and verifying authority:</w:t>
      </w:r>
    </w:p>
    <w:p w14:paraId="6528D090" w14:textId="77777777" w:rsidR="007E3836" w:rsidRDefault="00000000">
      <w:pPr>
        <w:pStyle w:val="ListBullet"/>
      </w:pPr>
      <w:r>
        <w:t>Associated large load or resource-adequacy deficiency:</w:t>
      </w:r>
    </w:p>
    <w:p w14:paraId="69D61F91" w14:textId="77777777" w:rsidR="007E3836" w:rsidRDefault="00000000">
      <w:pPr>
        <w:pStyle w:val="ListBullet"/>
      </w:pPr>
      <w:r>
        <w:t>Study path and current milestone:</w:t>
      </w:r>
    </w:p>
    <w:p w14:paraId="5685F629" w14:textId="77777777" w:rsidR="007E3836" w:rsidRDefault="00000000">
      <w:pPr>
        <w:pStyle w:val="ListBullet"/>
      </w:pPr>
      <w:r>
        <w:t>Required generation, interconnection, and network facilities:</w:t>
      </w:r>
    </w:p>
    <w:p w14:paraId="6C415FBA" w14:textId="77777777" w:rsidR="007E3836" w:rsidRDefault="00000000">
      <w:pPr>
        <w:pStyle w:val="ListBullet"/>
      </w:pPr>
      <w:r>
        <w:t>Permits, site control, fuel, equipment, and construction status:</w:t>
      </w:r>
    </w:p>
    <w:p w14:paraId="230264CC" w14:textId="77777777" w:rsidR="007E3836" w:rsidRDefault="00000000">
      <w:pPr>
        <w:pStyle w:val="ListBullet"/>
      </w:pPr>
      <w:r>
        <w:t>Commercial structure and revenue certainty:</w:t>
      </w:r>
    </w:p>
    <w:p w14:paraId="2DE1B443" w14:textId="77777777" w:rsidR="007E3836" w:rsidRDefault="00000000">
      <w:pPr>
        <w:pStyle w:val="ListBullet"/>
      </w:pPr>
      <w:r>
        <w:t>Customer-cost allocation and security:</w:t>
      </w:r>
    </w:p>
    <w:p w14:paraId="46CD3320" w14:textId="77777777" w:rsidR="007E3836" w:rsidRDefault="00000000">
      <w:pPr>
        <w:pStyle w:val="ListBullet"/>
      </w:pPr>
      <w:r>
        <w:t>Critical-path date and top three schedule risks:</w:t>
      </w:r>
    </w:p>
    <w:p w14:paraId="492F22B9" w14:textId="77777777" w:rsidR="007E3836" w:rsidRDefault="00000000">
      <w:pPr>
        <w:pStyle w:val="ListBullet"/>
      </w:pPr>
      <w:r>
        <w:t>Decision needed, decision-maker, and deadline:</w:t>
      </w:r>
    </w:p>
    <w:p w14:paraId="3053F3B7" w14:textId="77777777" w:rsidR="007E3836" w:rsidRDefault="00000000">
      <w:pPr>
        <w:pStyle w:val="Heading2"/>
      </w:pPr>
      <w:r>
        <w:t>30-Day Business Acumen Plan</w:t>
      </w:r>
    </w:p>
    <w:tbl>
      <w:tblPr>
        <w:tblStyle w:val="TableGrid"/>
        <w:tblW w:w="0" w:type="auto"/>
        <w:jc w:val="center"/>
        <w:tblLayout w:type="fixed"/>
        <w:tblLook w:val="04A0" w:firstRow="1" w:lastRow="0" w:firstColumn="1" w:lastColumn="0" w:noHBand="0" w:noVBand="1"/>
      </w:tblPr>
      <w:tblGrid>
        <w:gridCol w:w="1008"/>
        <w:gridCol w:w="3240"/>
        <w:gridCol w:w="5400"/>
      </w:tblGrid>
      <w:tr w:rsidR="007E3836" w14:paraId="6EA38955" w14:textId="77777777">
        <w:trPr>
          <w:tblHeader/>
          <w:jc w:val="center"/>
        </w:trPr>
        <w:tc>
          <w:tcPr>
            <w:tcW w:w="1008" w:type="dxa"/>
            <w:shd w:val="clear" w:color="auto" w:fill="17365D"/>
            <w:tcMar>
              <w:top w:w="100" w:type="dxa"/>
              <w:left w:w="120" w:type="dxa"/>
              <w:bottom w:w="100" w:type="dxa"/>
              <w:right w:w="120" w:type="dxa"/>
            </w:tcMar>
            <w:vAlign w:val="center"/>
          </w:tcPr>
          <w:p w14:paraId="1FB98B86" w14:textId="77777777" w:rsidR="007E3836" w:rsidRDefault="00000000">
            <w:pPr>
              <w:spacing w:after="40" w:line="245" w:lineRule="auto"/>
            </w:pPr>
            <w:r>
              <w:rPr>
                <w:b/>
                <w:color w:val="FFFFFF"/>
                <w:sz w:val="17"/>
              </w:rPr>
              <w:t>Week</w:t>
            </w:r>
          </w:p>
        </w:tc>
        <w:tc>
          <w:tcPr>
            <w:tcW w:w="3240" w:type="dxa"/>
            <w:shd w:val="clear" w:color="auto" w:fill="17365D"/>
            <w:tcMar>
              <w:top w:w="100" w:type="dxa"/>
              <w:left w:w="120" w:type="dxa"/>
              <w:bottom w:w="100" w:type="dxa"/>
              <w:right w:w="120" w:type="dxa"/>
            </w:tcMar>
            <w:vAlign w:val="center"/>
          </w:tcPr>
          <w:p w14:paraId="2C2A5791" w14:textId="77777777" w:rsidR="007E3836" w:rsidRDefault="00000000">
            <w:pPr>
              <w:spacing w:after="40" w:line="245" w:lineRule="auto"/>
            </w:pPr>
            <w:r>
              <w:rPr>
                <w:b/>
                <w:color w:val="FFFFFF"/>
                <w:sz w:val="17"/>
              </w:rPr>
              <w:t>Focus</w:t>
            </w:r>
          </w:p>
        </w:tc>
        <w:tc>
          <w:tcPr>
            <w:tcW w:w="5400" w:type="dxa"/>
            <w:shd w:val="clear" w:color="auto" w:fill="17365D"/>
            <w:tcMar>
              <w:top w:w="100" w:type="dxa"/>
              <w:left w:w="120" w:type="dxa"/>
              <w:bottom w:w="100" w:type="dxa"/>
              <w:right w:w="120" w:type="dxa"/>
            </w:tcMar>
            <w:vAlign w:val="center"/>
          </w:tcPr>
          <w:p w14:paraId="6F6E1EE1" w14:textId="77777777" w:rsidR="007E3836" w:rsidRDefault="00000000">
            <w:pPr>
              <w:spacing w:after="40" w:line="245" w:lineRule="auto"/>
            </w:pPr>
            <w:r>
              <w:rPr>
                <w:b/>
                <w:color w:val="FFFFFF"/>
                <w:sz w:val="17"/>
              </w:rPr>
              <w:t>Output</w:t>
            </w:r>
          </w:p>
        </w:tc>
      </w:tr>
      <w:tr w:rsidR="007E3836" w14:paraId="669346DE" w14:textId="77777777">
        <w:trPr>
          <w:cantSplit/>
          <w:jc w:val="center"/>
        </w:trPr>
        <w:tc>
          <w:tcPr>
            <w:tcW w:w="1008" w:type="dxa"/>
            <w:tcMar>
              <w:top w:w="100" w:type="dxa"/>
              <w:left w:w="120" w:type="dxa"/>
              <w:bottom w:w="100" w:type="dxa"/>
              <w:right w:w="120" w:type="dxa"/>
            </w:tcMar>
            <w:vAlign w:val="center"/>
          </w:tcPr>
          <w:p w14:paraId="12D87BCA" w14:textId="77777777" w:rsidR="007E3836" w:rsidRDefault="00000000">
            <w:pPr>
              <w:spacing w:after="40" w:line="245" w:lineRule="auto"/>
            </w:pPr>
            <w:r>
              <w:rPr>
                <w:sz w:val="17"/>
              </w:rPr>
              <w:t>1</w:t>
            </w:r>
          </w:p>
        </w:tc>
        <w:tc>
          <w:tcPr>
            <w:tcW w:w="3240" w:type="dxa"/>
            <w:tcMar>
              <w:top w:w="100" w:type="dxa"/>
              <w:left w:w="120" w:type="dxa"/>
              <w:bottom w:w="100" w:type="dxa"/>
              <w:right w:w="120" w:type="dxa"/>
            </w:tcMar>
            <w:vAlign w:val="center"/>
          </w:tcPr>
          <w:p w14:paraId="1611BC3E" w14:textId="77777777" w:rsidR="007E3836" w:rsidRDefault="00000000">
            <w:pPr>
              <w:spacing w:after="40" w:line="245" w:lineRule="auto"/>
            </w:pPr>
            <w:r>
              <w:rPr>
                <w:sz w:val="17"/>
              </w:rPr>
              <w:t>Vocabulary and market structure</w:t>
            </w:r>
          </w:p>
        </w:tc>
        <w:tc>
          <w:tcPr>
            <w:tcW w:w="5400" w:type="dxa"/>
            <w:tcMar>
              <w:top w:w="100" w:type="dxa"/>
              <w:left w:w="120" w:type="dxa"/>
              <w:bottom w:w="100" w:type="dxa"/>
              <w:right w:w="120" w:type="dxa"/>
            </w:tcMar>
            <w:vAlign w:val="center"/>
          </w:tcPr>
          <w:p w14:paraId="416F516B" w14:textId="77777777" w:rsidR="007E3836" w:rsidRDefault="00000000">
            <w:pPr>
              <w:spacing w:after="40" w:line="245" w:lineRule="auto"/>
            </w:pPr>
            <w:r>
              <w:rPr>
                <w:sz w:val="17"/>
              </w:rPr>
              <w:t>Create a two-page glossary and explain energy, capacity, accreditation, interconnection, and deliverability without notes.</w:t>
            </w:r>
          </w:p>
        </w:tc>
      </w:tr>
      <w:tr w:rsidR="007E3836" w14:paraId="774756BD" w14:textId="77777777">
        <w:trPr>
          <w:cantSplit/>
          <w:jc w:val="center"/>
        </w:trPr>
        <w:tc>
          <w:tcPr>
            <w:tcW w:w="1008" w:type="dxa"/>
            <w:shd w:val="clear" w:color="auto" w:fill="F7F9FA"/>
            <w:tcMar>
              <w:top w:w="100" w:type="dxa"/>
              <w:left w:w="120" w:type="dxa"/>
              <w:bottom w:w="100" w:type="dxa"/>
              <w:right w:w="120" w:type="dxa"/>
            </w:tcMar>
            <w:vAlign w:val="center"/>
          </w:tcPr>
          <w:p w14:paraId="3B129A0D" w14:textId="77777777" w:rsidR="007E3836" w:rsidRDefault="00000000">
            <w:pPr>
              <w:spacing w:after="40" w:line="245" w:lineRule="auto"/>
            </w:pPr>
            <w:r>
              <w:rPr>
                <w:sz w:val="17"/>
              </w:rPr>
              <w:t>2</w:t>
            </w:r>
          </w:p>
        </w:tc>
        <w:tc>
          <w:tcPr>
            <w:tcW w:w="3240" w:type="dxa"/>
            <w:shd w:val="clear" w:color="auto" w:fill="F7F9FA"/>
            <w:tcMar>
              <w:top w:w="100" w:type="dxa"/>
              <w:left w:w="120" w:type="dxa"/>
              <w:bottom w:w="100" w:type="dxa"/>
              <w:right w:w="120" w:type="dxa"/>
            </w:tcMar>
            <w:vAlign w:val="center"/>
          </w:tcPr>
          <w:p w14:paraId="53ACB1AC" w14:textId="77777777" w:rsidR="007E3836" w:rsidRDefault="00000000">
            <w:pPr>
              <w:spacing w:after="40" w:line="245" w:lineRule="auto"/>
            </w:pPr>
            <w:r>
              <w:rPr>
                <w:sz w:val="17"/>
              </w:rPr>
              <w:t>Process fluency</w:t>
            </w:r>
          </w:p>
        </w:tc>
        <w:tc>
          <w:tcPr>
            <w:tcW w:w="5400" w:type="dxa"/>
            <w:shd w:val="clear" w:color="auto" w:fill="F7F9FA"/>
            <w:tcMar>
              <w:top w:w="100" w:type="dxa"/>
              <w:left w:w="120" w:type="dxa"/>
              <w:bottom w:w="100" w:type="dxa"/>
              <w:right w:w="120" w:type="dxa"/>
            </w:tcMar>
            <w:vAlign w:val="center"/>
          </w:tcPr>
          <w:p w14:paraId="2329023B" w14:textId="77777777" w:rsidR="007E3836" w:rsidRDefault="00000000">
            <w:pPr>
              <w:spacing w:after="40" w:line="245" w:lineRule="auto"/>
            </w:pPr>
            <w:r>
              <w:rPr>
                <w:sz w:val="17"/>
              </w:rPr>
              <w:t>Map one real project across need, ERAS/DPP, permitting, transmission, financing, PRA qualification, and commercial operation.</w:t>
            </w:r>
          </w:p>
        </w:tc>
      </w:tr>
      <w:tr w:rsidR="007E3836" w14:paraId="416589BE" w14:textId="77777777">
        <w:trPr>
          <w:cantSplit/>
          <w:jc w:val="center"/>
        </w:trPr>
        <w:tc>
          <w:tcPr>
            <w:tcW w:w="1008" w:type="dxa"/>
            <w:tcMar>
              <w:top w:w="100" w:type="dxa"/>
              <w:left w:w="120" w:type="dxa"/>
              <w:bottom w:w="100" w:type="dxa"/>
              <w:right w:w="120" w:type="dxa"/>
            </w:tcMar>
            <w:vAlign w:val="center"/>
          </w:tcPr>
          <w:p w14:paraId="06D7918A" w14:textId="77777777" w:rsidR="007E3836" w:rsidRDefault="00000000">
            <w:pPr>
              <w:spacing w:after="40" w:line="245" w:lineRule="auto"/>
            </w:pPr>
            <w:r>
              <w:rPr>
                <w:sz w:val="17"/>
              </w:rPr>
              <w:lastRenderedPageBreak/>
              <w:t>3</w:t>
            </w:r>
          </w:p>
        </w:tc>
        <w:tc>
          <w:tcPr>
            <w:tcW w:w="3240" w:type="dxa"/>
            <w:tcMar>
              <w:top w:w="100" w:type="dxa"/>
              <w:left w:w="120" w:type="dxa"/>
              <w:bottom w:w="100" w:type="dxa"/>
              <w:right w:w="120" w:type="dxa"/>
            </w:tcMar>
            <w:vAlign w:val="center"/>
          </w:tcPr>
          <w:p w14:paraId="16F71ECC" w14:textId="77777777" w:rsidR="007E3836" w:rsidRDefault="00000000">
            <w:pPr>
              <w:spacing w:after="40" w:line="245" w:lineRule="auto"/>
            </w:pPr>
            <w:r>
              <w:rPr>
                <w:sz w:val="17"/>
              </w:rPr>
              <w:t>Illinois authority and customer impact</w:t>
            </w:r>
          </w:p>
        </w:tc>
        <w:tc>
          <w:tcPr>
            <w:tcW w:w="5400" w:type="dxa"/>
            <w:tcMar>
              <w:top w:w="100" w:type="dxa"/>
              <w:left w:w="120" w:type="dxa"/>
              <w:bottom w:w="100" w:type="dxa"/>
              <w:right w:w="120" w:type="dxa"/>
            </w:tcMar>
            <w:vAlign w:val="center"/>
          </w:tcPr>
          <w:p w14:paraId="21652C69" w14:textId="77777777" w:rsidR="007E3836" w:rsidRDefault="00000000">
            <w:pPr>
              <w:spacing w:after="40" w:line="245" w:lineRule="auto"/>
            </w:pPr>
            <w:r>
              <w:rPr>
                <w:sz w:val="17"/>
              </w:rPr>
              <w:t>Build a decision-rights map for MISO, FERC, ICC, IPA, IEPA, Ameren Illinois, LSEs, and local government.</w:t>
            </w:r>
          </w:p>
        </w:tc>
      </w:tr>
      <w:tr w:rsidR="007E3836" w14:paraId="666336B6" w14:textId="77777777">
        <w:trPr>
          <w:cantSplit/>
          <w:jc w:val="center"/>
        </w:trPr>
        <w:tc>
          <w:tcPr>
            <w:tcW w:w="1008" w:type="dxa"/>
            <w:shd w:val="clear" w:color="auto" w:fill="F7F9FA"/>
            <w:tcMar>
              <w:top w:w="100" w:type="dxa"/>
              <w:left w:w="120" w:type="dxa"/>
              <w:bottom w:w="100" w:type="dxa"/>
              <w:right w:w="120" w:type="dxa"/>
            </w:tcMar>
            <w:vAlign w:val="center"/>
          </w:tcPr>
          <w:p w14:paraId="6F621071" w14:textId="77777777" w:rsidR="007E3836" w:rsidRDefault="00000000">
            <w:pPr>
              <w:spacing w:after="40" w:line="245" w:lineRule="auto"/>
            </w:pPr>
            <w:r>
              <w:rPr>
                <w:sz w:val="17"/>
              </w:rPr>
              <w:t>4</w:t>
            </w:r>
          </w:p>
        </w:tc>
        <w:tc>
          <w:tcPr>
            <w:tcW w:w="3240" w:type="dxa"/>
            <w:shd w:val="clear" w:color="auto" w:fill="F7F9FA"/>
            <w:tcMar>
              <w:top w:w="100" w:type="dxa"/>
              <w:left w:w="120" w:type="dxa"/>
              <w:bottom w:w="100" w:type="dxa"/>
              <w:right w:w="120" w:type="dxa"/>
            </w:tcMar>
            <w:vAlign w:val="center"/>
          </w:tcPr>
          <w:p w14:paraId="201DB7C3" w14:textId="77777777" w:rsidR="007E3836" w:rsidRDefault="00000000">
            <w:pPr>
              <w:spacing w:after="40" w:line="245" w:lineRule="auto"/>
            </w:pPr>
            <w:r>
              <w:rPr>
                <w:sz w:val="17"/>
              </w:rPr>
              <w:t>Message and negotiation practice</w:t>
            </w:r>
          </w:p>
        </w:tc>
        <w:tc>
          <w:tcPr>
            <w:tcW w:w="5400" w:type="dxa"/>
            <w:shd w:val="clear" w:color="auto" w:fill="F7F9FA"/>
            <w:tcMar>
              <w:top w:w="100" w:type="dxa"/>
              <w:left w:w="120" w:type="dxa"/>
              <w:bottom w:w="100" w:type="dxa"/>
              <w:right w:w="120" w:type="dxa"/>
            </w:tcMar>
            <w:vAlign w:val="center"/>
          </w:tcPr>
          <w:p w14:paraId="2F1F7F4B" w14:textId="77777777" w:rsidR="007E3836" w:rsidRDefault="00000000">
            <w:pPr>
              <w:spacing w:after="40" w:line="245" w:lineRule="auto"/>
            </w:pPr>
            <w:r>
              <w:rPr>
                <w:sz w:val="17"/>
              </w:rPr>
              <w:t>Prepare a five-minute legislator briefing, a regulator question set, and a red-team critique of the proposal.</w:t>
            </w:r>
          </w:p>
        </w:tc>
      </w:tr>
    </w:tbl>
    <w:p w14:paraId="0736D57D" w14:textId="77777777" w:rsidR="007E3836" w:rsidRDefault="007E3836">
      <w:pPr>
        <w:spacing w:after="20"/>
      </w:pPr>
    </w:p>
    <w:p w14:paraId="5DA8C911" w14:textId="77777777" w:rsidR="007E3836" w:rsidRDefault="00000000">
      <w:r>
        <w:br w:type="page"/>
      </w:r>
    </w:p>
    <w:p w14:paraId="2599BEA9" w14:textId="77777777" w:rsidR="007E3836" w:rsidRDefault="004748D3" w:rsidP="004748D3">
      <w:pPr>
        <w:pStyle w:val="Heading1"/>
      </w:pPr>
      <w:r w:rsidRPr="004748D3">
        <w:lastRenderedPageBreak/>
        <w:t>Glossary and Reference Terms</w:t>
      </w:r>
    </w:p>
    <w:tbl>
      <w:tblPr>
        <w:tblStyle w:val="TableGrid"/>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72"/>
        <w:gridCol w:w="7776"/>
      </w:tblGrid>
      <w:tr w:rsidR="009B4712" w14:paraId="5F5F4BDC" w14:textId="77777777">
        <w:trPr>
          <w:tblHeader/>
        </w:trPr>
        <w:tc>
          <w:tcPr>
            <w:tcW w:w="1872" w:type="dxa"/>
            <w:tcBorders>
              <w:top w:val="single" w:sz="8" w:space="0" w:color="auto"/>
              <w:left w:val="single" w:sz="8" w:space="0" w:color="auto"/>
              <w:bottom w:val="single" w:sz="8" w:space="0" w:color="auto"/>
              <w:right w:val="single" w:sz="8" w:space="0" w:color="auto"/>
            </w:tcBorders>
            <w:shd w:val="clear" w:color="auto" w:fill="17365D"/>
            <w:tcMar>
              <w:top w:w="100" w:type="dxa"/>
              <w:left w:w="120" w:type="dxa"/>
              <w:bottom w:w="100" w:type="dxa"/>
              <w:right w:w="120" w:type="dxa"/>
            </w:tcMar>
            <w:vAlign w:val="center"/>
            <w:hideMark/>
          </w:tcPr>
          <w:p w14:paraId="542DCF8D" w14:textId="77777777" w:rsidR="009B4712" w:rsidRDefault="009B4712">
            <w:pPr>
              <w:spacing w:after="40" w:line="244" w:lineRule="auto"/>
              <w:rPr>
                <w:kern w:val="2"/>
                <w:szCs w:val="20"/>
                <w14:ligatures w14:val="standardContextual"/>
              </w:rPr>
            </w:pPr>
            <w:r>
              <w:rPr>
                <w:b/>
                <w:bCs/>
                <w:color w:val="FFFFFF"/>
                <w:sz w:val="17"/>
                <w:szCs w:val="17"/>
              </w:rPr>
              <w:t>Term</w:t>
            </w:r>
          </w:p>
        </w:tc>
        <w:tc>
          <w:tcPr>
            <w:tcW w:w="7776" w:type="dxa"/>
            <w:tcBorders>
              <w:top w:val="single" w:sz="8" w:space="0" w:color="auto"/>
              <w:left w:val="nil"/>
              <w:bottom w:val="single" w:sz="8" w:space="0" w:color="auto"/>
              <w:right w:val="single" w:sz="8" w:space="0" w:color="auto"/>
            </w:tcBorders>
            <w:shd w:val="clear" w:color="auto" w:fill="17365D"/>
            <w:tcMar>
              <w:top w:w="100" w:type="dxa"/>
              <w:left w:w="120" w:type="dxa"/>
              <w:bottom w:w="100" w:type="dxa"/>
              <w:right w:w="120" w:type="dxa"/>
            </w:tcMar>
            <w:vAlign w:val="center"/>
            <w:hideMark/>
          </w:tcPr>
          <w:p w14:paraId="7C80418A" w14:textId="77777777" w:rsidR="009B4712" w:rsidRDefault="009B4712">
            <w:pPr>
              <w:spacing w:after="40" w:line="244" w:lineRule="auto"/>
            </w:pPr>
            <w:r>
              <w:rPr>
                <w:b/>
                <w:bCs/>
                <w:color w:val="FFFFFF"/>
                <w:sz w:val="17"/>
                <w:szCs w:val="17"/>
              </w:rPr>
              <w:t>Working definition and example</w:t>
            </w:r>
          </w:p>
        </w:tc>
      </w:tr>
      <w:tr w:rsidR="009B4712" w14:paraId="3969E97B" w14:textId="77777777">
        <w:tc>
          <w:tcPr>
            <w:tcW w:w="1872"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65EE1328" w14:textId="77777777" w:rsidR="009B4712" w:rsidRDefault="009B4712">
            <w:pPr>
              <w:spacing w:after="40" w:line="244" w:lineRule="auto"/>
            </w:pPr>
            <w:r>
              <w:rPr>
                <w:sz w:val="17"/>
                <w:szCs w:val="17"/>
              </w:rPr>
              <w:t>Accredited capacity</w:t>
            </w:r>
          </w:p>
        </w:tc>
        <w:tc>
          <w:tcPr>
            <w:tcW w:w="7776"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961D65F" w14:textId="77777777" w:rsidR="009B4712" w:rsidRDefault="009B4712">
            <w:pPr>
              <w:spacing w:after="40" w:line="244" w:lineRule="auto"/>
            </w:pPr>
            <w:r>
              <w:rPr>
                <w:sz w:val="17"/>
                <w:szCs w:val="17"/>
              </w:rPr>
              <w:t>The amount of a resource’s capacity that MISO allows to count toward reliability needs after applying seasonal, performance, availability, and technology rules. Example: a 400 MW battery may not count as 400 MW of dependable summer capacity if its duration or expected risk-hour performance supports a lower value.</w:t>
            </w:r>
          </w:p>
        </w:tc>
      </w:tr>
      <w:tr w:rsidR="009B4712" w14:paraId="71A9746D" w14:textId="77777777">
        <w:tc>
          <w:tcPr>
            <w:tcW w:w="1872" w:type="dxa"/>
            <w:tcBorders>
              <w:top w:val="nil"/>
              <w:left w:val="single" w:sz="8" w:space="0" w:color="auto"/>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2F2EEDF9" w14:textId="77777777" w:rsidR="009B4712" w:rsidRDefault="009B4712">
            <w:pPr>
              <w:spacing w:after="40" w:line="244" w:lineRule="auto"/>
            </w:pPr>
            <w:r>
              <w:rPr>
                <w:sz w:val="17"/>
                <w:szCs w:val="17"/>
              </w:rPr>
              <w:t>Accreditation</w:t>
            </w:r>
          </w:p>
        </w:tc>
        <w:tc>
          <w:tcPr>
            <w:tcW w:w="7776" w:type="dxa"/>
            <w:tcBorders>
              <w:top w:val="nil"/>
              <w:left w:val="nil"/>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366C3E94" w14:textId="77777777" w:rsidR="009B4712" w:rsidRDefault="009B4712">
            <w:pPr>
              <w:spacing w:after="40" w:line="244" w:lineRule="auto"/>
            </w:pPr>
            <w:r>
              <w:rPr>
                <w:sz w:val="17"/>
                <w:szCs w:val="17"/>
              </w:rPr>
              <w:t>The process of assigning a seasonal reliability value to a resource. Example: a solar project receives a capacity value based on expected contribution during risk hours, not simply its installed MW.</w:t>
            </w:r>
          </w:p>
        </w:tc>
      </w:tr>
      <w:tr w:rsidR="009B4712" w14:paraId="2BBB933E" w14:textId="77777777">
        <w:tc>
          <w:tcPr>
            <w:tcW w:w="1872"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0CE47070" w14:textId="77777777" w:rsidR="009B4712" w:rsidRDefault="009B4712">
            <w:pPr>
              <w:spacing w:after="40" w:line="244" w:lineRule="auto"/>
            </w:pPr>
            <w:r>
              <w:rPr>
                <w:sz w:val="17"/>
                <w:szCs w:val="17"/>
              </w:rPr>
              <w:t>Adequacy</w:t>
            </w:r>
          </w:p>
        </w:tc>
        <w:tc>
          <w:tcPr>
            <w:tcW w:w="7776"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2BA2F76" w14:textId="77777777" w:rsidR="009B4712" w:rsidRDefault="009B4712">
            <w:pPr>
              <w:spacing w:after="40" w:line="244" w:lineRule="auto"/>
            </w:pPr>
            <w:r>
              <w:rPr>
                <w:sz w:val="17"/>
                <w:szCs w:val="17"/>
              </w:rPr>
              <w:t>Having enough dependable supply, demand response, imports, and reserves to meet forecasted demand under reliability standards. Example: if new data center load is expected in a zone, adequacy asks whether enough dependable capacity will be available before the load arrives.</w:t>
            </w:r>
          </w:p>
        </w:tc>
      </w:tr>
      <w:tr w:rsidR="009B4712" w14:paraId="1FFC473A" w14:textId="77777777">
        <w:tc>
          <w:tcPr>
            <w:tcW w:w="1872" w:type="dxa"/>
            <w:tcBorders>
              <w:top w:val="nil"/>
              <w:left w:val="single" w:sz="8" w:space="0" w:color="auto"/>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560C6F0A" w14:textId="77777777" w:rsidR="009B4712" w:rsidRDefault="009B4712">
            <w:pPr>
              <w:spacing w:after="40" w:line="244" w:lineRule="auto"/>
            </w:pPr>
            <w:r>
              <w:rPr>
                <w:sz w:val="17"/>
                <w:szCs w:val="17"/>
              </w:rPr>
              <w:t>Affected system</w:t>
            </w:r>
          </w:p>
        </w:tc>
        <w:tc>
          <w:tcPr>
            <w:tcW w:w="7776" w:type="dxa"/>
            <w:tcBorders>
              <w:top w:val="nil"/>
              <w:left w:val="nil"/>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360CB158" w14:textId="77777777" w:rsidR="009B4712" w:rsidRDefault="009B4712">
            <w:pPr>
              <w:spacing w:after="40" w:line="244" w:lineRule="auto"/>
            </w:pPr>
            <w:r>
              <w:rPr>
                <w:sz w:val="17"/>
                <w:szCs w:val="17"/>
              </w:rPr>
              <w:t>Another transmission system, neighboring utility, or higher-queued facility that could be affected by a new interconnection request. Example: a generator connecting in one part of MISO may require review by a neighboring transmission owner if power flows could affect that system.</w:t>
            </w:r>
          </w:p>
        </w:tc>
      </w:tr>
      <w:tr w:rsidR="009B4712" w14:paraId="2C887B78" w14:textId="77777777">
        <w:tc>
          <w:tcPr>
            <w:tcW w:w="1872"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2C452FC6" w14:textId="77777777" w:rsidR="009B4712" w:rsidRDefault="009B4712">
            <w:pPr>
              <w:spacing w:after="40" w:line="244" w:lineRule="auto"/>
            </w:pPr>
            <w:r>
              <w:rPr>
                <w:sz w:val="17"/>
                <w:szCs w:val="17"/>
              </w:rPr>
              <w:t>Availability</w:t>
            </w:r>
          </w:p>
        </w:tc>
        <w:tc>
          <w:tcPr>
            <w:tcW w:w="7776"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5467F24" w14:textId="77777777" w:rsidR="009B4712" w:rsidRDefault="009B4712">
            <w:pPr>
              <w:spacing w:after="40" w:line="244" w:lineRule="auto"/>
            </w:pPr>
            <w:r>
              <w:rPr>
                <w:sz w:val="17"/>
                <w:szCs w:val="17"/>
              </w:rPr>
              <w:t xml:space="preserve">Whether a resource is </w:t>
            </w:r>
            <w:proofErr w:type="gramStart"/>
            <w:r>
              <w:rPr>
                <w:sz w:val="17"/>
                <w:szCs w:val="17"/>
              </w:rPr>
              <w:t>actually ready</w:t>
            </w:r>
            <w:proofErr w:type="gramEnd"/>
            <w:r>
              <w:rPr>
                <w:sz w:val="17"/>
                <w:szCs w:val="17"/>
              </w:rPr>
              <w:t xml:space="preserve"> and able to perform when needed. Example: a gas unit may be accredited, but it is not available during an emergency if it is on forced outage or lacks fuel transportation.</w:t>
            </w:r>
          </w:p>
        </w:tc>
      </w:tr>
      <w:tr w:rsidR="009B4712" w14:paraId="5EAE9255" w14:textId="77777777">
        <w:tc>
          <w:tcPr>
            <w:tcW w:w="1872" w:type="dxa"/>
            <w:tcBorders>
              <w:top w:val="nil"/>
              <w:left w:val="single" w:sz="8" w:space="0" w:color="auto"/>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0AF579F2" w14:textId="77777777" w:rsidR="009B4712" w:rsidRDefault="009B4712">
            <w:pPr>
              <w:spacing w:after="40" w:line="244" w:lineRule="auto"/>
            </w:pPr>
            <w:r>
              <w:rPr>
                <w:sz w:val="17"/>
                <w:szCs w:val="17"/>
              </w:rPr>
              <w:t>BESS</w:t>
            </w:r>
          </w:p>
        </w:tc>
        <w:tc>
          <w:tcPr>
            <w:tcW w:w="7776" w:type="dxa"/>
            <w:tcBorders>
              <w:top w:val="nil"/>
              <w:left w:val="nil"/>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0653FA1B" w14:textId="77777777" w:rsidR="009B4712" w:rsidRDefault="009B4712">
            <w:pPr>
              <w:spacing w:after="40" w:line="244" w:lineRule="auto"/>
            </w:pPr>
            <w:r>
              <w:rPr>
                <w:sz w:val="17"/>
                <w:szCs w:val="17"/>
              </w:rPr>
              <w:t>Battery Energy Storage System, a facility that charges from the grid or a paired resource and later discharges electricity. Example: a four-hour BESS can help cover an evening peak if it has enough charge and the event duration fits its capability.</w:t>
            </w:r>
          </w:p>
        </w:tc>
      </w:tr>
      <w:tr w:rsidR="002F25A8" w14:paraId="5E9E0B9D"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15AD7A40" w14:textId="77777777" w:rsidR="002F25A8" w:rsidRDefault="002F25A8">
            <w:pPr>
              <w:spacing w:after="40" w:line="242" w:lineRule="auto"/>
              <w:rPr>
                <w:kern w:val="2"/>
                <w:szCs w:val="20"/>
                <w14:ligatures w14:val="standardContextual"/>
              </w:rPr>
            </w:pPr>
            <w:r>
              <w:rPr>
                <w:sz w:val="17"/>
                <w:szCs w:val="17"/>
              </w:rPr>
              <w:t>COD</w:t>
            </w:r>
          </w:p>
        </w:tc>
        <w:tc>
          <w:tcPr>
            <w:tcW w:w="7776"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B3796B9" w14:textId="77777777" w:rsidR="002F25A8" w:rsidRDefault="002F25A8">
            <w:pPr>
              <w:spacing w:after="40" w:line="242" w:lineRule="auto"/>
            </w:pPr>
            <w:r>
              <w:rPr>
                <w:sz w:val="17"/>
                <w:szCs w:val="17"/>
              </w:rPr>
              <w:t>Commercial Operation Date, the date when a resource is approved to operate commercially after construction, testing, and required approvals. Example: a project may execute a GIA in 2026 but not reach COD until 2029.</w:t>
            </w:r>
          </w:p>
        </w:tc>
      </w:tr>
      <w:tr w:rsidR="002F25A8" w14:paraId="22A9D3A3"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6B03A3B0" w14:textId="77777777" w:rsidR="002F25A8" w:rsidRDefault="002F25A8">
            <w:pPr>
              <w:spacing w:after="40" w:line="242" w:lineRule="auto"/>
              <w:rPr>
                <w:kern w:val="2"/>
                <w:szCs w:val="20"/>
                <w14:ligatures w14:val="standardContextual"/>
              </w:rPr>
            </w:pPr>
            <w:r>
              <w:rPr>
                <w:sz w:val="17"/>
                <w:szCs w:val="17"/>
              </w:rPr>
              <w:t>Deliverability</w:t>
            </w:r>
          </w:p>
        </w:tc>
        <w:tc>
          <w:tcPr>
            <w:tcW w:w="7776" w:type="dxa"/>
            <w:tcBorders>
              <w:top w:val="nil"/>
              <w:left w:val="nil"/>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05AB9618" w14:textId="77777777" w:rsidR="002F25A8" w:rsidRDefault="002F25A8">
            <w:pPr>
              <w:spacing w:after="40" w:line="242" w:lineRule="auto"/>
            </w:pPr>
            <w:r>
              <w:rPr>
                <w:sz w:val="17"/>
                <w:szCs w:val="17"/>
              </w:rPr>
              <w:t>The ability to move a resource’s output through the transmission system under studied conditions. Example: a project can be physically near load but still face deliverability limits if transmission constraints prevent output from reaching the needed area.</w:t>
            </w:r>
          </w:p>
        </w:tc>
      </w:tr>
      <w:tr w:rsidR="002F25A8" w14:paraId="63A6C08F"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4B618254" w14:textId="77777777" w:rsidR="002F25A8" w:rsidRDefault="002F25A8">
            <w:pPr>
              <w:spacing w:after="40" w:line="242" w:lineRule="auto"/>
              <w:rPr>
                <w:kern w:val="2"/>
                <w:szCs w:val="20"/>
                <w14:ligatures w14:val="standardContextual"/>
              </w:rPr>
            </w:pPr>
            <w:r>
              <w:rPr>
                <w:sz w:val="17"/>
                <w:szCs w:val="17"/>
              </w:rPr>
              <w:t>DPP</w:t>
            </w:r>
          </w:p>
        </w:tc>
        <w:tc>
          <w:tcPr>
            <w:tcW w:w="7776"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6D1A4A8" w14:textId="77777777" w:rsidR="002F25A8" w:rsidRDefault="002F25A8">
            <w:pPr>
              <w:spacing w:after="40" w:line="242" w:lineRule="auto"/>
            </w:pPr>
            <w:r>
              <w:rPr>
                <w:sz w:val="17"/>
                <w:szCs w:val="17"/>
              </w:rPr>
              <w:t>Definitive Planning Phase, MISO’s phased standard generator-interconnection study process. Example: a project in DPP moves through study phases and decision points before it can negotiate a Generator Interconnection Agreement.</w:t>
            </w:r>
          </w:p>
        </w:tc>
      </w:tr>
      <w:tr w:rsidR="002F25A8" w14:paraId="606BDE53"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09C85D19" w14:textId="77777777" w:rsidR="002F25A8" w:rsidRDefault="002F25A8">
            <w:pPr>
              <w:spacing w:after="40" w:line="242" w:lineRule="auto"/>
              <w:rPr>
                <w:kern w:val="2"/>
                <w:szCs w:val="20"/>
                <w14:ligatures w14:val="standardContextual"/>
              </w:rPr>
            </w:pPr>
            <w:r>
              <w:rPr>
                <w:sz w:val="17"/>
                <w:szCs w:val="17"/>
              </w:rPr>
              <w:t>ELCC</w:t>
            </w:r>
          </w:p>
        </w:tc>
        <w:tc>
          <w:tcPr>
            <w:tcW w:w="7776" w:type="dxa"/>
            <w:tcBorders>
              <w:top w:val="nil"/>
              <w:left w:val="nil"/>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66A844FF" w14:textId="77777777" w:rsidR="002F25A8" w:rsidRDefault="002F25A8">
            <w:pPr>
              <w:spacing w:after="40" w:line="242" w:lineRule="auto"/>
            </w:pPr>
            <w:r>
              <w:rPr>
                <w:sz w:val="17"/>
                <w:szCs w:val="17"/>
              </w:rPr>
              <w:t>Effective Load Carrying Capability, a method for estimating how much reliability value a resource or portfolio provides during risk hours. Example: ELCC may show that adding more solar has diminishing capacity value if system risk shifts to hours after sunset.</w:t>
            </w:r>
          </w:p>
        </w:tc>
      </w:tr>
      <w:tr w:rsidR="002F25A8" w14:paraId="534514D6"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67F40820" w14:textId="77777777" w:rsidR="002F25A8" w:rsidRDefault="002F25A8">
            <w:pPr>
              <w:spacing w:after="40" w:line="242" w:lineRule="auto"/>
              <w:rPr>
                <w:kern w:val="2"/>
                <w:szCs w:val="20"/>
                <w14:ligatures w14:val="standardContextual"/>
              </w:rPr>
            </w:pPr>
            <w:r>
              <w:rPr>
                <w:sz w:val="17"/>
                <w:szCs w:val="17"/>
              </w:rPr>
              <w:t>Energy</w:t>
            </w:r>
          </w:p>
        </w:tc>
        <w:tc>
          <w:tcPr>
            <w:tcW w:w="7776"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17E8A66B" w14:textId="77777777" w:rsidR="002F25A8" w:rsidRDefault="002F25A8">
            <w:pPr>
              <w:spacing w:after="40" w:line="242" w:lineRule="auto"/>
            </w:pPr>
            <w:r>
              <w:rPr>
                <w:sz w:val="17"/>
                <w:szCs w:val="17"/>
              </w:rPr>
              <w:t>Electricity produced, consumed, stored, or discharged over time, usually measured in MWh. Example: a 100 MW battery discharging at full output for four hours delivers 400 MWh of energy.</w:t>
            </w:r>
          </w:p>
        </w:tc>
      </w:tr>
      <w:tr w:rsidR="002F25A8" w14:paraId="16B82145"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3120A663" w14:textId="77777777" w:rsidR="002F25A8" w:rsidRDefault="002F25A8">
            <w:pPr>
              <w:spacing w:after="40" w:line="242" w:lineRule="auto"/>
              <w:rPr>
                <w:kern w:val="2"/>
                <w:szCs w:val="20"/>
                <w14:ligatures w14:val="standardContextual"/>
              </w:rPr>
            </w:pPr>
            <w:r>
              <w:rPr>
                <w:sz w:val="17"/>
                <w:szCs w:val="17"/>
              </w:rPr>
              <w:t>ERAS</w:t>
            </w:r>
          </w:p>
        </w:tc>
        <w:tc>
          <w:tcPr>
            <w:tcW w:w="7776" w:type="dxa"/>
            <w:tcBorders>
              <w:top w:val="nil"/>
              <w:left w:val="nil"/>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4C9BF94F" w14:textId="77777777" w:rsidR="002F25A8" w:rsidRDefault="002F25A8">
            <w:pPr>
              <w:spacing w:after="40" w:line="242" w:lineRule="auto"/>
            </w:pPr>
            <w:r>
              <w:rPr>
                <w:sz w:val="17"/>
                <w:szCs w:val="17"/>
              </w:rPr>
              <w:t>Expedited Resource Addition Study, MISO’s temporary expedited pathway for qualifying reliability-critical resources. Example: a project tied to a verified load addition may seek ERAS treatment to move more quickly through interconnection study and agreement steps.</w:t>
            </w:r>
          </w:p>
        </w:tc>
      </w:tr>
      <w:tr w:rsidR="002F25A8" w14:paraId="5D528731"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240787F3" w14:textId="77777777" w:rsidR="002F25A8" w:rsidRDefault="002F25A8">
            <w:pPr>
              <w:spacing w:after="40" w:line="242" w:lineRule="auto"/>
              <w:rPr>
                <w:kern w:val="2"/>
                <w:szCs w:val="20"/>
                <w14:ligatures w14:val="standardContextual"/>
              </w:rPr>
            </w:pPr>
            <w:r>
              <w:rPr>
                <w:sz w:val="17"/>
                <w:szCs w:val="17"/>
              </w:rPr>
              <w:t>ERIS</w:t>
            </w:r>
          </w:p>
        </w:tc>
        <w:tc>
          <w:tcPr>
            <w:tcW w:w="7776"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4FF74D05" w14:textId="77777777" w:rsidR="002F25A8" w:rsidRDefault="002F25A8">
            <w:pPr>
              <w:spacing w:after="40" w:line="242" w:lineRule="auto"/>
            </w:pPr>
            <w:r>
              <w:rPr>
                <w:sz w:val="17"/>
                <w:szCs w:val="17"/>
              </w:rPr>
              <w:t>Energy Resource Interconnection Service, a type of interconnection service that allows a resource to inject energy when the system can accept it but does not by itself provide capacity deliverability rights. Example: a wind project with ERIS may sell energy when available but may need separate qualification to count as capacity.</w:t>
            </w:r>
          </w:p>
        </w:tc>
      </w:tr>
      <w:tr w:rsidR="002F25A8" w14:paraId="7615B9EC"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4C52BFA0" w14:textId="77777777" w:rsidR="002F25A8" w:rsidRDefault="002F25A8">
            <w:pPr>
              <w:spacing w:after="40" w:line="242" w:lineRule="auto"/>
              <w:rPr>
                <w:kern w:val="2"/>
                <w:szCs w:val="20"/>
                <w14:ligatures w14:val="standardContextual"/>
              </w:rPr>
            </w:pPr>
            <w:r>
              <w:rPr>
                <w:sz w:val="17"/>
                <w:szCs w:val="17"/>
              </w:rPr>
              <w:t>GIA</w:t>
            </w:r>
          </w:p>
        </w:tc>
        <w:tc>
          <w:tcPr>
            <w:tcW w:w="7776" w:type="dxa"/>
            <w:tcBorders>
              <w:top w:val="nil"/>
              <w:left w:val="nil"/>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1D8E45BA" w14:textId="77777777" w:rsidR="002F25A8" w:rsidRDefault="002F25A8">
            <w:pPr>
              <w:spacing w:after="40" w:line="242" w:lineRule="auto"/>
            </w:pPr>
            <w:r>
              <w:rPr>
                <w:sz w:val="17"/>
                <w:szCs w:val="17"/>
              </w:rPr>
              <w:t>Generator Interconnection Agreement, the contract that identifies interconnection facilities, network upgrades, cost responsibilities, milestones, and operating requirements. Example: a signed GIA means the parties have agreed on interconnection obligations, but it does not mean the plant is financed, permitted, or built.</w:t>
            </w:r>
          </w:p>
        </w:tc>
      </w:tr>
      <w:tr w:rsidR="002F25A8" w14:paraId="37E2571B"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7748501C" w14:textId="77777777" w:rsidR="002F25A8" w:rsidRDefault="002F25A8">
            <w:pPr>
              <w:spacing w:after="40" w:line="242" w:lineRule="auto"/>
              <w:rPr>
                <w:kern w:val="2"/>
                <w:szCs w:val="20"/>
                <w14:ligatures w14:val="standardContextual"/>
              </w:rPr>
            </w:pPr>
            <w:r>
              <w:rPr>
                <w:sz w:val="17"/>
                <w:szCs w:val="17"/>
              </w:rPr>
              <w:lastRenderedPageBreak/>
              <w:t>IC</w:t>
            </w:r>
          </w:p>
        </w:tc>
        <w:tc>
          <w:tcPr>
            <w:tcW w:w="7776"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C363D81" w14:textId="77777777" w:rsidR="002F25A8" w:rsidRDefault="002F25A8">
            <w:pPr>
              <w:spacing w:after="40" w:line="242" w:lineRule="auto"/>
            </w:pPr>
            <w:r>
              <w:rPr>
                <w:sz w:val="17"/>
                <w:szCs w:val="17"/>
              </w:rPr>
              <w:t>Interconnection Customer, the developer, owner, or sponsor requesting to connect a generating resource to the transmission system. Example: the IC submits technical data, deposits, site information, and milestone materials during the interconnection process.</w:t>
            </w:r>
          </w:p>
        </w:tc>
      </w:tr>
      <w:tr w:rsidR="002F25A8" w14:paraId="2D3C3D16"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441B6BD5" w14:textId="77777777" w:rsidR="002F25A8" w:rsidRDefault="002F25A8">
            <w:pPr>
              <w:spacing w:after="40" w:line="242" w:lineRule="auto"/>
              <w:rPr>
                <w:kern w:val="2"/>
                <w:szCs w:val="20"/>
                <w14:ligatures w14:val="standardContextual"/>
              </w:rPr>
            </w:pPr>
            <w:r>
              <w:rPr>
                <w:sz w:val="17"/>
                <w:szCs w:val="17"/>
              </w:rPr>
              <w:t>Interconnection vs. accreditation</w:t>
            </w:r>
          </w:p>
        </w:tc>
        <w:tc>
          <w:tcPr>
            <w:tcW w:w="7776" w:type="dxa"/>
            <w:tcBorders>
              <w:top w:val="nil"/>
              <w:left w:val="nil"/>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6B04ABB5" w14:textId="77777777" w:rsidR="002F25A8" w:rsidRDefault="002F25A8">
            <w:pPr>
              <w:spacing w:after="40" w:line="242" w:lineRule="auto"/>
            </w:pPr>
            <w:r>
              <w:rPr>
                <w:sz w:val="17"/>
                <w:szCs w:val="17"/>
              </w:rPr>
              <w:t>Interconnection determines whether and how a resource can connect to the grid. Accreditation determines how much of that resource counts toward reliability needs. Example: a 300 MW solar project may be interconnected, but its accredited capacity could be much lower during evening risk hours.</w:t>
            </w:r>
          </w:p>
        </w:tc>
      </w:tr>
      <w:tr w:rsidR="002F25A8" w14:paraId="3E97E6A4"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7229621A" w14:textId="77777777" w:rsidR="002F25A8" w:rsidRDefault="002F25A8">
            <w:pPr>
              <w:spacing w:after="40" w:line="242" w:lineRule="auto"/>
              <w:rPr>
                <w:kern w:val="2"/>
                <w:szCs w:val="20"/>
                <w14:ligatures w14:val="standardContextual"/>
              </w:rPr>
            </w:pPr>
            <w:r>
              <w:rPr>
                <w:sz w:val="17"/>
                <w:szCs w:val="17"/>
              </w:rPr>
              <w:t>ISAC / SAC</w:t>
            </w:r>
          </w:p>
        </w:tc>
        <w:tc>
          <w:tcPr>
            <w:tcW w:w="7776"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38A57575" w14:textId="77777777" w:rsidR="002F25A8" w:rsidRDefault="002F25A8">
            <w:pPr>
              <w:spacing w:after="40" w:line="242" w:lineRule="auto"/>
            </w:pPr>
            <w:r>
              <w:rPr>
                <w:sz w:val="17"/>
                <w:szCs w:val="17"/>
              </w:rPr>
              <w:t>Initial or seasonal accredited capacity concepts used to describe how much capacity counts under seasonal resource-adequacy rules. Example: a resource may carry one accredited value in summer and a different value in winter because risks and performance differ by season.</w:t>
            </w:r>
          </w:p>
        </w:tc>
      </w:tr>
      <w:tr w:rsidR="002F25A8" w14:paraId="56309FD1"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40C97A53" w14:textId="77777777" w:rsidR="002F25A8" w:rsidRDefault="002F25A8">
            <w:pPr>
              <w:spacing w:after="40" w:line="242" w:lineRule="auto"/>
              <w:rPr>
                <w:kern w:val="2"/>
                <w:szCs w:val="20"/>
                <w14:ligatures w14:val="standardContextual"/>
              </w:rPr>
            </w:pPr>
            <w:r>
              <w:rPr>
                <w:sz w:val="17"/>
                <w:szCs w:val="17"/>
              </w:rPr>
              <w:t>LOLE</w:t>
            </w:r>
          </w:p>
        </w:tc>
        <w:tc>
          <w:tcPr>
            <w:tcW w:w="7776" w:type="dxa"/>
            <w:tcBorders>
              <w:top w:val="nil"/>
              <w:left w:val="nil"/>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0C669361" w14:textId="77777777" w:rsidR="002F25A8" w:rsidRDefault="002F25A8">
            <w:pPr>
              <w:spacing w:after="40" w:line="242" w:lineRule="auto"/>
            </w:pPr>
            <w:r>
              <w:rPr>
                <w:sz w:val="17"/>
                <w:szCs w:val="17"/>
              </w:rPr>
              <w:t>Loss of Load Expectation, a probabilistic reliability metric estimating how often demand may exceed available resources. Example: the common “one day in ten years” concept is a planning standard, not a guarantee that outages can never happen.</w:t>
            </w:r>
          </w:p>
        </w:tc>
      </w:tr>
      <w:tr w:rsidR="002F25A8" w14:paraId="467FE2F0"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61F26D8F" w14:textId="77777777" w:rsidR="002F25A8" w:rsidRDefault="002F25A8">
            <w:pPr>
              <w:spacing w:after="40" w:line="242" w:lineRule="auto"/>
              <w:rPr>
                <w:kern w:val="2"/>
                <w:szCs w:val="20"/>
                <w14:ligatures w14:val="standardContextual"/>
              </w:rPr>
            </w:pPr>
            <w:r>
              <w:rPr>
                <w:sz w:val="17"/>
                <w:szCs w:val="17"/>
              </w:rPr>
              <w:t>LRZ</w:t>
            </w:r>
          </w:p>
        </w:tc>
        <w:tc>
          <w:tcPr>
            <w:tcW w:w="7776"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C61FEFC" w14:textId="77777777" w:rsidR="002F25A8" w:rsidRDefault="002F25A8">
            <w:pPr>
              <w:spacing w:after="40" w:line="242" w:lineRule="auto"/>
            </w:pPr>
            <w:r>
              <w:rPr>
                <w:sz w:val="17"/>
                <w:szCs w:val="17"/>
              </w:rPr>
              <w:t>Local Resource Zone, a geographic capacity zone used in MISO resource-adequacy planning. Example: capacity that helps one LRZ may not fully solve a shortage in another LRZ if transfer limits restrict deliverability.</w:t>
            </w:r>
          </w:p>
        </w:tc>
      </w:tr>
      <w:tr w:rsidR="002F25A8" w14:paraId="5980EB85"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7E5E4099" w14:textId="77777777" w:rsidR="002F25A8" w:rsidRDefault="002F25A8">
            <w:pPr>
              <w:spacing w:after="40" w:line="242" w:lineRule="auto"/>
              <w:rPr>
                <w:kern w:val="2"/>
                <w:szCs w:val="20"/>
                <w14:ligatures w14:val="standardContextual"/>
              </w:rPr>
            </w:pPr>
            <w:r>
              <w:rPr>
                <w:sz w:val="17"/>
                <w:szCs w:val="17"/>
              </w:rPr>
              <w:t>LSE</w:t>
            </w:r>
          </w:p>
        </w:tc>
        <w:tc>
          <w:tcPr>
            <w:tcW w:w="7776" w:type="dxa"/>
            <w:tcBorders>
              <w:top w:val="nil"/>
              <w:left w:val="nil"/>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00E12CD1" w14:textId="77777777" w:rsidR="002F25A8" w:rsidRDefault="002F25A8">
            <w:pPr>
              <w:spacing w:after="40" w:line="242" w:lineRule="auto"/>
            </w:pPr>
            <w:r>
              <w:rPr>
                <w:sz w:val="17"/>
                <w:szCs w:val="17"/>
              </w:rPr>
              <w:t>Load-Serving Entity, the entity responsible for serving retail load and meeting applicable resource-adequacy obligations. Example: an LSE may secure capacity through contracts, self-supply, or the Planning Resource Auction to meet its seasonal requirement.</w:t>
            </w:r>
          </w:p>
        </w:tc>
      </w:tr>
      <w:tr w:rsidR="002F25A8" w14:paraId="1AB4E09B"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11373FDE" w14:textId="77777777" w:rsidR="002F25A8" w:rsidRDefault="002F25A8">
            <w:pPr>
              <w:spacing w:after="40" w:line="242" w:lineRule="auto"/>
              <w:rPr>
                <w:kern w:val="2"/>
                <w:szCs w:val="20"/>
                <w14:ligatures w14:val="standardContextual"/>
              </w:rPr>
            </w:pPr>
            <w:r>
              <w:rPr>
                <w:sz w:val="17"/>
                <w:szCs w:val="17"/>
              </w:rPr>
              <w:t>Load factor</w:t>
            </w:r>
          </w:p>
        </w:tc>
        <w:tc>
          <w:tcPr>
            <w:tcW w:w="7776"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F99CF5D" w14:textId="77777777" w:rsidR="002F25A8" w:rsidRDefault="002F25A8">
            <w:pPr>
              <w:spacing w:after="40" w:line="242" w:lineRule="auto"/>
            </w:pPr>
            <w:r>
              <w:rPr>
                <w:sz w:val="17"/>
                <w:szCs w:val="17"/>
              </w:rPr>
              <w:t>A measure of how consistently a customer or system uses electricity over time compared with its peak demand. Example: a data center with steady 24-hour usage usually has a high load factor, while a customer that peaks briefly on hot afternoons has a lower load factor.</w:t>
            </w:r>
          </w:p>
        </w:tc>
      </w:tr>
      <w:tr w:rsidR="002F25A8" w14:paraId="3445442F"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5DB5B60F" w14:textId="77777777" w:rsidR="002F25A8" w:rsidRDefault="002F25A8">
            <w:pPr>
              <w:spacing w:after="40" w:line="242" w:lineRule="auto"/>
              <w:rPr>
                <w:kern w:val="2"/>
                <w:szCs w:val="20"/>
                <w14:ligatures w14:val="standardContextual"/>
              </w:rPr>
            </w:pPr>
            <w:r>
              <w:rPr>
                <w:sz w:val="17"/>
                <w:szCs w:val="17"/>
              </w:rPr>
              <w:t>MTEP</w:t>
            </w:r>
          </w:p>
        </w:tc>
        <w:tc>
          <w:tcPr>
            <w:tcW w:w="7776" w:type="dxa"/>
            <w:tcBorders>
              <w:top w:val="nil"/>
              <w:left w:val="nil"/>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1F164441" w14:textId="77777777" w:rsidR="002F25A8" w:rsidRDefault="002F25A8">
            <w:pPr>
              <w:spacing w:after="40" w:line="242" w:lineRule="auto"/>
            </w:pPr>
            <w:r>
              <w:rPr>
                <w:sz w:val="17"/>
                <w:szCs w:val="17"/>
              </w:rPr>
              <w:t>MISO Transmission Expansion Plan, MISO’s regional transmission planning process and portfolio. Example: an MTEP project may be needed to relieve congestion, enable resource deliverability, or support long-term reliability needs.</w:t>
            </w:r>
          </w:p>
        </w:tc>
      </w:tr>
      <w:tr w:rsidR="002F25A8" w14:paraId="4DA87137"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46194F3A" w14:textId="77777777" w:rsidR="002F25A8" w:rsidRDefault="002F25A8">
            <w:pPr>
              <w:spacing w:after="40" w:line="242" w:lineRule="auto"/>
              <w:rPr>
                <w:kern w:val="2"/>
                <w:szCs w:val="20"/>
                <w14:ligatures w14:val="standardContextual"/>
              </w:rPr>
            </w:pPr>
            <w:r>
              <w:rPr>
                <w:sz w:val="17"/>
                <w:szCs w:val="17"/>
              </w:rPr>
              <w:t>MW / MWh</w:t>
            </w:r>
          </w:p>
        </w:tc>
        <w:tc>
          <w:tcPr>
            <w:tcW w:w="7776"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4013704" w14:textId="77777777" w:rsidR="002F25A8" w:rsidRDefault="002F25A8">
            <w:pPr>
              <w:spacing w:after="40" w:line="242" w:lineRule="auto"/>
            </w:pPr>
            <w:r>
              <w:rPr>
                <w:sz w:val="17"/>
                <w:szCs w:val="17"/>
              </w:rPr>
              <w:t>Megawatt measures instantaneous capacity; megawatt-hour measures energy over time. Example: a 100 MW battery discharging for four hours produces 400 MWh.</w:t>
            </w:r>
          </w:p>
        </w:tc>
      </w:tr>
      <w:tr w:rsidR="002F25A8" w14:paraId="1A708FE4"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4C6E4326" w14:textId="77777777" w:rsidR="002F25A8" w:rsidRDefault="002F25A8">
            <w:pPr>
              <w:spacing w:after="40" w:line="242" w:lineRule="auto"/>
              <w:rPr>
                <w:kern w:val="2"/>
                <w:szCs w:val="20"/>
                <w14:ligatures w14:val="standardContextual"/>
              </w:rPr>
            </w:pPr>
            <w:r>
              <w:rPr>
                <w:sz w:val="17"/>
                <w:szCs w:val="17"/>
              </w:rPr>
              <w:t>Nameplate capacity</w:t>
            </w:r>
          </w:p>
        </w:tc>
        <w:tc>
          <w:tcPr>
            <w:tcW w:w="7776" w:type="dxa"/>
            <w:tcBorders>
              <w:top w:val="nil"/>
              <w:left w:val="nil"/>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3D12EF3B" w14:textId="77777777" w:rsidR="002F25A8" w:rsidRDefault="002F25A8">
            <w:pPr>
              <w:spacing w:after="40" w:line="242" w:lineRule="auto"/>
            </w:pPr>
            <w:r>
              <w:rPr>
                <w:sz w:val="17"/>
                <w:szCs w:val="17"/>
              </w:rPr>
              <w:t>The maximum rated output of a generator or storage device under specified conditions. Example: a 500 MW plant has 500 MW of nameplate capacity, but its accredited capacity may be lower depending on performance, availability, and seasonal rules.</w:t>
            </w:r>
          </w:p>
        </w:tc>
      </w:tr>
      <w:tr w:rsidR="002F25A8" w14:paraId="4552C98C"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7948F544" w14:textId="77777777" w:rsidR="002F25A8" w:rsidRDefault="002F25A8">
            <w:pPr>
              <w:spacing w:after="40" w:line="242" w:lineRule="auto"/>
              <w:rPr>
                <w:kern w:val="2"/>
                <w:szCs w:val="20"/>
                <w14:ligatures w14:val="standardContextual"/>
              </w:rPr>
            </w:pPr>
            <w:r>
              <w:rPr>
                <w:sz w:val="17"/>
                <w:szCs w:val="17"/>
              </w:rPr>
              <w:t>Network upgrade</w:t>
            </w:r>
          </w:p>
        </w:tc>
        <w:tc>
          <w:tcPr>
            <w:tcW w:w="7776"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7EF62E15" w14:textId="77777777" w:rsidR="002F25A8" w:rsidRDefault="002F25A8">
            <w:pPr>
              <w:spacing w:after="40" w:line="242" w:lineRule="auto"/>
            </w:pPr>
            <w:r>
              <w:rPr>
                <w:sz w:val="17"/>
                <w:szCs w:val="17"/>
              </w:rPr>
              <w:t>A transmission-system addition or modification identified as necessary through interconnection or planning studies. Example: a new generator may require a substation upgrade, breaker replacement, reconductoring, or new line work before it can interconnect reliably.</w:t>
            </w:r>
          </w:p>
        </w:tc>
      </w:tr>
      <w:tr w:rsidR="002F25A8" w14:paraId="788F01D7"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4C17D596" w14:textId="77777777" w:rsidR="002F25A8" w:rsidRDefault="002F25A8">
            <w:pPr>
              <w:spacing w:after="40" w:line="242" w:lineRule="auto"/>
              <w:rPr>
                <w:kern w:val="2"/>
                <w:szCs w:val="20"/>
                <w14:ligatures w14:val="standardContextual"/>
              </w:rPr>
            </w:pPr>
            <w:r>
              <w:rPr>
                <w:sz w:val="17"/>
                <w:szCs w:val="17"/>
              </w:rPr>
              <w:t>NRIS</w:t>
            </w:r>
          </w:p>
        </w:tc>
        <w:tc>
          <w:tcPr>
            <w:tcW w:w="7776" w:type="dxa"/>
            <w:tcBorders>
              <w:top w:val="nil"/>
              <w:left w:val="nil"/>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4969BD46" w14:textId="77777777" w:rsidR="002F25A8" w:rsidRDefault="002F25A8">
            <w:pPr>
              <w:spacing w:after="40" w:line="242" w:lineRule="auto"/>
            </w:pPr>
            <w:r>
              <w:rPr>
                <w:sz w:val="17"/>
                <w:szCs w:val="17"/>
              </w:rPr>
              <w:t>Network Resource Interconnection Service, interconnection service designed to support deliverability for capacity-resource purposes under applicable rules. Example: a project seeking to count toward resource adequacy may need NRIS rather than energy-only interconnection treatment.</w:t>
            </w:r>
          </w:p>
        </w:tc>
      </w:tr>
      <w:tr w:rsidR="002F25A8" w14:paraId="68D23006"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16874E93" w14:textId="77777777" w:rsidR="002F25A8" w:rsidRDefault="002F25A8">
            <w:pPr>
              <w:spacing w:after="40" w:line="242" w:lineRule="auto"/>
              <w:rPr>
                <w:kern w:val="2"/>
                <w:szCs w:val="20"/>
                <w14:ligatures w14:val="standardContextual"/>
              </w:rPr>
            </w:pPr>
            <w:r>
              <w:rPr>
                <w:sz w:val="17"/>
                <w:szCs w:val="17"/>
              </w:rPr>
              <w:t>PRA</w:t>
            </w:r>
          </w:p>
        </w:tc>
        <w:tc>
          <w:tcPr>
            <w:tcW w:w="7776"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5FDE28DB" w14:textId="77777777" w:rsidR="002F25A8" w:rsidRDefault="002F25A8">
            <w:pPr>
              <w:spacing w:after="40" w:line="242" w:lineRule="auto"/>
            </w:pPr>
            <w:r>
              <w:rPr>
                <w:sz w:val="17"/>
                <w:szCs w:val="17"/>
              </w:rPr>
              <w:t>Planning Resource Auction, MISO’s annual capacity auction for the June-through-May planning year, clearing by season and zone. Example: if an LSE is short capacity for summer, it may buy capacity through the PRA from a participant with surplus accredited capacity.</w:t>
            </w:r>
          </w:p>
        </w:tc>
      </w:tr>
      <w:tr w:rsidR="002F25A8" w14:paraId="2F82BD50"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4765CB8E" w14:textId="77777777" w:rsidR="002F25A8" w:rsidRDefault="002F25A8">
            <w:pPr>
              <w:spacing w:after="40" w:line="242" w:lineRule="auto"/>
              <w:rPr>
                <w:kern w:val="2"/>
                <w:szCs w:val="20"/>
                <w14:ligatures w14:val="standardContextual"/>
              </w:rPr>
            </w:pPr>
            <w:r>
              <w:rPr>
                <w:sz w:val="17"/>
                <w:szCs w:val="17"/>
              </w:rPr>
              <w:t>PRM / PRMR</w:t>
            </w:r>
          </w:p>
        </w:tc>
        <w:tc>
          <w:tcPr>
            <w:tcW w:w="7776" w:type="dxa"/>
            <w:tcBorders>
              <w:top w:val="nil"/>
              <w:left w:val="nil"/>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273ECE72" w14:textId="77777777" w:rsidR="002F25A8" w:rsidRDefault="002F25A8">
            <w:pPr>
              <w:spacing w:after="40" w:line="242" w:lineRule="auto"/>
            </w:pPr>
            <w:r>
              <w:rPr>
                <w:sz w:val="17"/>
                <w:szCs w:val="17"/>
              </w:rPr>
              <w:t>Planning Reserve Margin and Planning Reserve Margin Requirement, the reserve level above forecasted demand needed to meet reliability standards. Example: if expected peak demand is 10,000 MW and the planning reserve requirement is 15%, the system needs more than 10,000 MW of dependable capacity.</w:t>
            </w:r>
          </w:p>
        </w:tc>
      </w:tr>
      <w:tr w:rsidR="002F25A8" w14:paraId="73569749"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42469750" w14:textId="77777777" w:rsidR="002F25A8" w:rsidRDefault="002F25A8">
            <w:pPr>
              <w:spacing w:after="40" w:line="242" w:lineRule="auto"/>
              <w:rPr>
                <w:kern w:val="2"/>
                <w:szCs w:val="20"/>
                <w14:ligatures w14:val="standardContextual"/>
              </w:rPr>
            </w:pPr>
            <w:r>
              <w:rPr>
                <w:sz w:val="17"/>
                <w:szCs w:val="17"/>
              </w:rPr>
              <w:t>Qualified capacity</w:t>
            </w:r>
          </w:p>
        </w:tc>
        <w:tc>
          <w:tcPr>
            <w:tcW w:w="7776"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2927B4FA" w14:textId="77777777" w:rsidR="002F25A8" w:rsidRDefault="002F25A8">
            <w:pPr>
              <w:spacing w:after="40" w:line="242" w:lineRule="auto"/>
            </w:pPr>
            <w:r>
              <w:rPr>
                <w:sz w:val="17"/>
                <w:szCs w:val="17"/>
              </w:rPr>
              <w:t>The capacity a resource is eligible to offer or count after satisfying applicable registration, testing, operational, and market requirements. Example: a new unit may be physically complete but not yet qualified capacity until it has completed the required market and operational steps.</w:t>
            </w:r>
          </w:p>
        </w:tc>
      </w:tr>
      <w:tr w:rsidR="002F25A8" w14:paraId="57283A83"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069E0E78" w14:textId="77777777" w:rsidR="002F25A8" w:rsidRDefault="002F25A8">
            <w:pPr>
              <w:spacing w:after="40" w:line="242" w:lineRule="auto"/>
              <w:rPr>
                <w:kern w:val="2"/>
                <w:szCs w:val="20"/>
                <w14:ligatures w14:val="standardContextual"/>
              </w:rPr>
            </w:pPr>
            <w:r>
              <w:rPr>
                <w:sz w:val="17"/>
                <w:szCs w:val="17"/>
              </w:rPr>
              <w:lastRenderedPageBreak/>
              <w:t>RERRA</w:t>
            </w:r>
          </w:p>
        </w:tc>
        <w:tc>
          <w:tcPr>
            <w:tcW w:w="7776" w:type="dxa"/>
            <w:tcBorders>
              <w:top w:val="nil"/>
              <w:left w:val="nil"/>
              <w:bottom w:val="single" w:sz="8" w:space="0" w:color="auto"/>
              <w:right w:val="single" w:sz="8" w:space="0" w:color="auto"/>
            </w:tcBorders>
            <w:shd w:val="clear" w:color="auto" w:fill="F7F9FA"/>
            <w:tcMar>
              <w:top w:w="100" w:type="dxa"/>
              <w:left w:w="120" w:type="dxa"/>
              <w:bottom w:w="100" w:type="dxa"/>
              <w:right w:w="120" w:type="dxa"/>
            </w:tcMar>
            <w:vAlign w:val="center"/>
            <w:hideMark/>
          </w:tcPr>
          <w:p w14:paraId="789DC1FF" w14:textId="77777777" w:rsidR="002F25A8" w:rsidRDefault="002F25A8">
            <w:pPr>
              <w:spacing w:after="40" w:line="242" w:lineRule="auto"/>
            </w:pPr>
            <w:r>
              <w:rPr>
                <w:sz w:val="17"/>
                <w:szCs w:val="17"/>
              </w:rPr>
              <w:t>Relevant Electric Retail Regulatory Authority, the state or retail regulator with authority related to retail electric service and verification issues. Example: for an Illinois-related ERAS request, the relevant authority may need to verify the underlying need before MISO treats the resource as eligible.</w:t>
            </w:r>
          </w:p>
        </w:tc>
      </w:tr>
      <w:tr w:rsidR="002F25A8" w14:paraId="337A2BDE" w14:textId="77777777" w:rsidTr="002F25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72" w:type="dxa"/>
            <w:tcBorders>
              <w:top w:val="nil"/>
              <w:left w:val="single" w:sz="8" w:space="0" w:color="auto"/>
              <w:bottom w:val="single" w:sz="8" w:space="0" w:color="auto"/>
              <w:right w:val="single" w:sz="8" w:space="0" w:color="auto"/>
            </w:tcBorders>
            <w:tcMar>
              <w:top w:w="100" w:type="dxa"/>
              <w:left w:w="120" w:type="dxa"/>
              <w:bottom w:w="100" w:type="dxa"/>
              <w:right w:w="120" w:type="dxa"/>
            </w:tcMar>
            <w:vAlign w:val="center"/>
            <w:hideMark/>
          </w:tcPr>
          <w:p w14:paraId="1C263987" w14:textId="77777777" w:rsidR="002F25A8" w:rsidRDefault="002F25A8">
            <w:pPr>
              <w:spacing w:after="40" w:line="242" w:lineRule="auto"/>
              <w:rPr>
                <w:kern w:val="2"/>
                <w:szCs w:val="20"/>
                <w14:ligatures w14:val="standardContextual"/>
              </w:rPr>
            </w:pPr>
            <w:r>
              <w:rPr>
                <w:sz w:val="17"/>
                <w:szCs w:val="17"/>
              </w:rPr>
              <w:t>Resource adequacy</w:t>
            </w:r>
          </w:p>
        </w:tc>
        <w:tc>
          <w:tcPr>
            <w:tcW w:w="7776" w:type="dxa"/>
            <w:tcBorders>
              <w:top w:val="nil"/>
              <w:left w:val="nil"/>
              <w:bottom w:val="single" w:sz="8" w:space="0" w:color="auto"/>
              <w:right w:val="single" w:sz="8" w:space="0" w:color="auto"/>
            </w:tcBorders>
            <w:tcMar>
              <w:top w:w="100" w:type="dxa"/>
              <w:left w:w="120" w:type="dxa"/>
              <w:bottom w:w="100" w:type="dxa"/>
              <w:right w:w="120" w:type="dxa"/>
            </w:tcMar>
            <w:vAlign w:val="center"/>
            <w:hideMark/>
          </w:tcPr>
          <w:p w14:paraId="0179A9F7" w14:textId="77777777" w:rsidR="002F25A8" w:rsidRDefault="002F25A8">
            <w:pPr>
              <w:spacing w:after="40" w:line="242" w:lineRule="auto"/>
            </w:pPr>
            <w:r>
              <w:rPr>
                <w:sz w:val="17"/>
                <w:szCs w:val="17"/>
              </w:rPr>
              <w:t>Sufficient available power to meet demand under an established reliability criterion. Example: resource adequacy asks whether the system has enough dependable capacity across seasons, not merely whether enough generation nameplate MW exists on paper.</w:t>
            </w:r>
          </w:p>
        </w:tc>
      </w:tr>
    </w:tbl>
    <w:p w14:paraId="4DCE7E32" w14:textId="77777777" w:rsidR="009B4712" w:rsidRDefault="009B4712">
      <w:pPr>
        <w:rPr>
          <w:kern w:val="2"/>
          <w:szCs w:val="20"/>
          <w14:ligatures w14:val="standardContextual"/>
        </w:rPr>
      </w:pPr>
    </w:p>
    <w:p w14:paraId="555364E7" w14:textId="77777777" w:rsidR="007E3836" w:rsidRDefault="00000000">
      <w:r>
        <w:br w:type="page"/>
      </w:r>
    </w:p>
    <w:p w14:paraId="7B52DB0A" w14:textId="77777777" w:rsidR="007E3836" w:rsidRDefault="00000000">
      <w:pPr>
        <w:pStyle w:val="Heading1"/>
      </w:pPr>
      <w:r>
        <w:lastRenderedPageBreak/>
        <w:t>Sources and Further Reading</w:t>
      </w:r>
    </w:p>
    <w:p w14:paraId="34AA08C4" w14:textId="77777777" w:rsidR="007E3836" w:rsidRDefault="00000000">
      <w:pPr>
        <w:pStyle w:val="Source"/>
        <w:spacing w:after="140"/>
      </w:pPr>
      <w:r>
        <w:rPr>
          <w:b/>
        </w:rPr>
        <w:t>[1] MISO, Generator Interconnection and ERAS overview</w:t>
      </w:r>
      <w:r>
        <w:rPr>
          <w:b/>
        </w:rPr>
        <w:br/>
      </w:r>
      <w:r>
        <w:t>https://www.misoenergy.org/planning/resource-utilization/generator-interconnection/</w:t>
      </w:r>
    </w:p>
    <w:p w14:paraId="7A1F2409" w14:textId="77777777" w:rsidR="007E3836" w:rsidRDefault="00000000">
      <w:pPr>
        <w:pStyle w:val="Source"/>
        <w:spacing w:after="140"/>
      </w:pPr>
      <w:r>
        <w:rPr>
          <w:b/>
        </w:rPr>
        <w:t>[2] MISO, “MISO accelerates new generation and storage projects with fifth ERAS cycle,” Sept. 8, 2026</w:t>
      </w:r>
      <w:r>
        <w:rPr>
          <w:b/>
        </w:rPr>
        <w:br/>
      </w:r>
      <w:r>
        <w:t>https://www.misoenergy.org/meet-miso/media-center/2026---news-releases/miso-accelerates-new-generation-and-storage-projects-with-fifth-eras-cycle/</w:t>
      </w:r>
    </w:p>
    <w:p w14:paraId="17B66F7F" w14:textId="77777777" w:rsidR="007E3836" w:rsidRDefault="00000000">
      <w:pPr>
        <w:pStyle w:val="Source"/>
        <w:spacing w:after="140"/>
      </w:pPr>
      <w:r>
        <w:rPr>
          <w:b/>
        </w:rPr>
        <w:t>[3] MISO, Generator Interconnection Studies and Procedures</w:t>
      </w:r>
      <w:r>
        <w:rPr>
          <w:b/>
        </w:rPr>
        <w:br/>
      </w:r>
      <w:r>
        <w:t>https://www.misoenergy.org/planning/resource-utilization/GI_Studies/</w:t>
      </w:r>
    </w:p>
    <w:p w14:paraId="4CE02949" w14:textId="77777777" w:rsidR="007E3836" w:rsidRDefault="00000000">
      <w:pPr>
        <w:pStyle w:val="Source"/>
        <w:spacing w:after="140"/>
      </w:pPr>
      <w:r>
        <w:rPr>
          <w:b/>
        </w:rPr>
        <w:t>[4] MISO, Resource Adequacy and Planning Resource Auction overview</w:t>
      </w:r>
      <w:r>
        <w:rPr>
          <w:b/>
        </w:rPr>
        <w:br/>
      </w:r>
      <w:r>
        <w:t>https://www.misoenergy.org/planning/resource-adequacy2/resource-adequacy/</w:t>
      </w:r>
    </w:p>
    <w:p w14:paraId="4E9CC0AB" w14:textId="77777777" w:rsidR="007E3836" w:rsidRDefault="00000000">
      <w:pPr>
        <w:pStyle w:val="Source"/>
        <w:spacing w:after="140"/>
      </w:pPr>
      <w:r>
        <w:rPr>
          <w:b/>
        </w:rPr>
        <w:t>[5] MISO, ERAS workshop materials, Dec. 6, 2024</w:t>
      </w:r>
      <w:r>
        <w:rPr>
          <w:b/>
        </w:rPr>
        <w:br/>
      </w:r>
      <w:r>
        <w:t>https://cdn.misoenergy.org/20241206%20Expedited%20Resource%20Adequacy%20Study%20%28ERAS%29%20Workshop665747.pdf</w:t>
      </w:r>
    </w:p>
    <w:p w14:paraId="6E983038" w14:textId="77777777" w:rsidR="007E3836" w:rsidRDefault="00000000">
      <w:pPr>
        <w:pStyle w:val="Source"/>
        <w:spacing w:after="140"/>
      </w:pPr>
      <w:r>
        <w:rPr>
          <w:b/>
        </w:rPr>
        <w:t>[6] Modo Energy, ERAS Cycle 3 analysis</w:t>
      </w:r>
      <w:r>
        <w:rPr>
          <w:b/>
        </w:rPr>
        <w:br/>
      </w:r>
      <w:r>
        <w:t>https://modoenergy.com/research/en/miso-eras-cycle-3-bess-fast-track</w:t>
      </w:r>
    </w:p>
    <w:p w14:paraId="5F7EB4DA" w14:textId="77777777" w:rsidR="007E3836" w:rsidRDefault="00000000">
      <w:pPr>
        <w:pStyle w:val="Source"/>
        <w:spacing w:after="140"/>
      </w:pPr>
      <w:r>
        <w:rPr>
          <w:b/>
        </w:rPr>
        <w:t>[7] Modo Energy, ERAS Cycle 4 analysis</w:t>
      </w:r>
      <w:r>
        <w:rPr>
          <w:b/>
        </w:rPr>
        <w:br/>
      </w:r>
      <w:r>
        <w:t>https://modoenergy.com/research/en/miso-eras-cycle-4-gas-fast-track</w:t>
      </w:r>
    </w:p>
    <w:p w14:paraId="1AECE73D" w14:textId="77777777" w:rsidR="007E3836" w:rsidRDefault="00000000">
      <w:pPr>
        <w:pStyle w:val="Source"/>
        <w:spacing w:after="140"/>
      </w:pPr>
      <w:r>
        <w:rPr>
          <w:b/>
        </w:rPr>
        <w:t>[8] Illinois 2025 Resource Adequacy Study, internal copy: Full Report RA Study.pdf</w:t>
      </w:r>
      <w:r>
        <w:rPr>
          <w:b/>
        </w:rPr>
        <w:br/>
      </w:r>
      <w:r>
        <w:t>Internal enterprise source reviewed September 2026.</w:t>
      </w:r>
    </w:p>
    <w:p w14:paraId="0D6FD30C" w14:textId="77777777" w:rsidR="007E3836" w:rsidRDefault="00000000">
      <w:pPr>
        <w:pStyle w:val="Source"/>
        <w:spacing w:after="140"/>
      </w:pPr>
      <w:r>
        <w:rPr>
          <w:b/>
        </w:rPr>
        <w:t>[9] Ameren Illinois Multi-Year Integrated Grid Plan, internal copy: 657593.pdf</w:t>
      </w:r>
      <w:r>
        <w:rPr>
          <w:b/>
        </w:rPr>
        <w:br/>
      </w:r>
      <w:r>
        <w:t>Internal enterprise source reviewed September 2026.</w:t>
      </w:r>
    </w:p>
    <w:p w14:paraId="16003C91" w14:textId="77777777" w:rsidR="007E3836" w:rsidRDefault="00000000">
      <w:pPr>
        <w:pStyle w:val="Source"/>
        <w:spacing w:after="140"/>
      </w:pPr>
      <w:r>
        <w:rPr>
          <w:b/>
        </w:rPr>
        <w:t>[10] MISO, Planning Resource Auction Results for Planning Year 2026/27</w:t>
      </w:r>
      <w:r>
        <w:rPr>
          <w:b/>
        </w:rPr>
        <w:br/>
      </w:r>
      <w:r>
        <w:t>https://cdn.misoenergy.org/2026%20PRA%20Results%20Posting%2020260522%20-%20Corrections754715.pdf</w:t>
      </w:r>
    </w:p>
    <w:p w14:paraId="22204BE9" w14:textId="77777777" w:rsidR="007E3836" w:rsidRDefault="00000000">
      <w:pPr>
        <w:pStyle w:val="Heading2"/>
      </w:pPr>
      <w:r>
        <w:t>Source Discipline</w:t>
      </w:r>
    </w:p>
    <w:p w14:paraId="4C0CFD30" w14:textId="77777777" w:rsidR="007E3836" w:rsidRDefault="00000000">
      <w:r>
        <w:t>This playbook separates published facts from practical interpretation. Public rules, tariff requirements, accreditation methods, project status, and cycle rosters can change. Before using the material in an external position, filing, or legislative proposal, verify the current MISO tariff, business-practice manuals, ERAS request register, relevant public-utility commission orders, and project-specific documents.</w:t>
      </w:r>
    </w:p>
    <w:tbl>
      <w:tblPr>
        <w:tblW w:w="0" w:type="auto"/>
        <w:jc w:val="center"/>
        <w:tblLayout w:type="fixed"/>
        <w:tblLook w:val="04A0" w:firstRow="1" w:lastRow="0" w:firstColumn="1" w:lastColumn="0" w:noHBand="0" w:noVBand="1"/>
      </w:tblPr>
      <w:tblGrid>
        <w:gridCol w:w="9936"/>
      </w:tblGrid>
      <w:tr w:rsidR="007E3836" w14:paraId="7E08166A" w14:textId="77777777">
        <w:trPr>
          <w:jc w:val="center"/>
        </w:trPr>
        <w:tc>
          <w:tcPr>
            <w:tcW w:w="9936" w:type="dxa"/>
            <w:shd w:val="clear" w:color="auto" w:fill="DDEBF7"/>
            <w:tcMar>
              <w:top w:w="150" w:type="dxa"/>
              <w:left w:w="180" w:type="dxa"/>
              <w:bottom w:w="150" w:type="dxa"/>
              <w:right w:w="180" w:type="dxa"/>
            </w:tcMar>
          </w:tcPr>
          <w:p w14:paraId="295A0895" w14:textId="2476332A" w:rsidR="007E3836" w:rsidRDefault="00000000" w:rsidP="008D45CA">
            <w:pPr>
              <w:spacing w:after="40" w:line="244" w:lineRule="auto"/>
            </w:pPr>
            <w:r w:rsidRPr="008D45CA">
              <w:rPr>
                <w:b/>
                <w:color w:val="17365D"/>
                <w:sz w:val="22"/>
              </w:rPr>
              <w:t>Bottom line</w:t>
            </w:r>
            <w:r w:rsidRPr="008D45CA">
              <w:rPr>
                <w:b/>
                <w:color w:val="17365D"/>
                <w:sz w:val="22"/>
              </w:rPr>
              <w:br/>
            </w:r>
            <w:r w:rsidRPr="008D45CA">
              <w:rPr>
                <w:sz w:val="19"/>
                <w:szCs w:val="19"/>
              </w:rPr>
              <w:t xml:space="preserve">ERAS can accelerate </w:t>
            </w:r>
            <w:r w:rsidR="008D45CA" w:rsidRPr="008D45CA">
              <w:rPr>
                <w:sz w:val="19"/>
                <w:szCs w:val="19"/>
              </w:rPr>
              <w:t>an important</w:t>
            </w:r>
            <w:r w:rsidRPr="008D45CA">
              <w:rPr>
                <w:sz w:val="19"/>
                <w:szCs w:val="19"/>
              </w:rPr>
              <w:t xml:space="preserve"> interconnection decision. </w:t>
            </w:r>
            <w:r w:rsidR="008D45CA" w:rsidRPr="008D45CA">
              <w:rPr>
                <w:sz w:val="19"/>
                <w:szCs w:val="19"/>
              </w:rPr>
              <w:t>The business challenge is everything around that decision: credible load, financeable projects, workable tariffs, permits, fuel, transmission, accreditation, customer protections, and a political story that can withstand scrutiny.</w:t>
            </w:r>
          </w:p>
        </w:tc>
      </w:tr>
    </w:tbl>
    <w:p w14:paraId="1750DBFE" w14:textId="77777777" w:rsidR="007E3836" w:rsidRDefault="007E3836">
      <w:pPr>
        <w:spacing w:after="20"/>
      </w:pPr>
    </w:p>
    <w:sectPr w:rsidR="007E3836" w:rsidSect="00034616">
      <w:headerReference w:type="default" r:id="rId8"/>
      <w:footerReference w:type="default" r:id="rId9"/>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C6AAD4" w14:textId="77777777" w:rsidR="00393609" w:rsidRDefault="00393609">
      <w:pPr>
        <w:spacing w:after="0" w:line="240" w:lineRule="auto"/>
      </w:pPr>
      <w:r>
        <w:separator/>
      </w:r>
    </w:p>
  </w:endnote>
  <w:endnote w:type="continuationSeparator" w:id="0">
    <w:p w14:paraId="2B408FA6" w14:textId="77777777" w:rsidR="00393609" w:rsidRDefault="00393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FA19A4" w14:textId="77777777" w:rsidR="007E3836" w:rsidRDefault="00000000">
    <w:pPr>
      <w:pStyle w:val="Small"/>
      <w:jc w:val="center"/>
    </w:pPr>
    <w:r>
      <w:t xml:space="preserve">Prepared for internal professional </w:t>
    </w:r>
    <w:proofErr w:type="gramStart"/>
    <w:r>
      <w:t>development  •</w:t>
    </w:r>
    <w:proofErr w:type="gramEnd"/>
    <w:r>
      <w:t xml:space="preserve">  September </w:t>
    </w:r>
    <w:proofErr w:type="gramStart"/>
    <w:r>
      <w:t>2026  |</w:t>
    </w:r>
    <w:proofErr w:type="gramEnd"/>
    <w:r>
      <w:t xml:space="preserve">  </w:t>
    </w:r>
    <w:r>
      <w:fldChar w:fldCharType="begin"/>
    </w:r>
    <w:r>
      <w:instrText>PAGE</w:instrText>
    </w:r>
    <w:r>
      <w:fldChar w:fldCharType="separate"/>
    </w:r>
    <w:r w:rsidR="00990C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B69978" w14:textId="77777777" w:rsidR="00393609" w:rsidRDefault="00393609">
      <w:pPr>
        <w:spacing w:after="0" w:line="240" w:lineRule="auto"/>
      </w:pPr>
      <w:r>
        <w:separator/>
      </w:r>
    </w:p>
  </w:footnote>
  <w:footnote w:type="continuationSeparator" w:id="0">
    <w:p w14:paraId="3AC6B294" w14:textId="77777777" w:rsidR="00393609" w:rsidRDefault="003936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EA6075" w14:textId="77777777" w:rsidR="007E3836" w:rsidRDefault="00000000">
    <w:pPr>
      <w:pStyle w:val="Small"/>
      <w:jc w:val="right"/>
    </w:pPr>
    <w:r>
      <w:t>MISO ERAS | BUSINESS ACUMEN PLAYBOOK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9E3675"/>
    <w:multiLevelType w:val="multilevel"/>
    <w:tmpl w:val="B6ECF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7113B3"/>
    <w:multiLevelType w:val="multilevel"/>
    <w:tmpl w:val="BDD42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191BE8"/>
    <w:multiLevelType w:val="multilevel"/>
    <w:tmpl w:val="79C6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124D2A"/>
    <w:multiLevelType w:val="multilevel"/>
    <w:tmpl w:val="14CC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7269D5"/>
    <w:multiLevelType w:val="multilevel"/>
    <w:tmpl w:val="CF0A5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2527083">
    <w:abstractNumId w:val="8"/>
  </w:num>
  <w:num w:numId="2" w16cid:durableId="1609701476">
    <w:abstractNumId w:val="6"/>
  </w:num>
  <w:num w:numId="3" w16cid:durableId="2050568988">
    <w:abstractNumId w:val="5"/>
  </w:num>
  <w:num w:numId="4" w16cid:durableId="357777569">
    <w:abstractNumId w:val="4"/>
  </w:num>
  <w:num w:numId="5" w16cid:durableId="2070762245">
    <w:abstractNumId w:val="7"/>
  </w:num>
  <w:num w:numId="6" w16cid:durableId="1785541719">
    <w:abstractNumId w:val="3"/>
  </w:num>
  <w:num w:numId="7" w16cid:durableId="1069501060">
    <w:abstractNumId w:val="2"/>
  </w:num>
  <w:num w:numId="8" w16cid:durableId="956058701">
    <w:abstractNumId w:val="1"/>
  </w:num>
  <w:num w:numId="9" w16cid:durableId="1851791695">
    <w:abstractNumId w:val="0"/>
  </w:num>
  <w:num w:numId="10" w16cid:durableId="1093746455">
    <w:abstractNumId w:val="12"/>
  </w:num>
  <w:num w:numId="11" w16cid:durableId="73672521">
    <w:abstractNumId w:val="11"/>
  </w:num>
  <w:num w:numId="12" w16cid:durableId="1586378987">
    <w:abstractNumId w:val="9"/>
  </w:num>
  <w:num w:numId="13" w16cid:durableId="416755008">
    <w:abstractNumId w:val="10"/>
  </w:num>
  <w:num w:numId="14" w16cid:durableId="614143868">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E2E"/>
    <w:rsid w:val="0006063C"/>
    <w:rsid w:val="00076B49"/>
    <w:rsid w:val="000E48EE"/>
    <w:rsid w:val="0015074B"/>
    <w:rsid w:val="00230DF3"/>
    <w:rsid w:val="0029639D"/>
    <w:rsid w:val="002F25A8"/>
    <w:rsid w:val="00326F90"/>
    <w:rsid w:val="00393609"/>
    <w:rsid w:val="003F5657"/>
    <w:rsid w:val="004748D3"/>
    <w:rsid w:val="00574C33"/>
    <w:rsid w:val="007D1309"/>
    <w:rsid w:val="007E3836"/>
    <w:rsid w:val="00867EDC"/>
    <w:rsid w:val="008D45CA"/>
    <w:rsid w:val="00957814"/>
    <w:rsid w:val="00971D92"/>
    <w:rsid w:val="00990C0C"/>
    <w:rsid w:val="009A1FA8"/>
    <w:rsid w:val="009B4712"/>
    <w:rsid w:val="00A51814"/>
    <w:rsid w:val="00AA1D8D"/>
    <w:rsid w:val="00B47730"/>
    <w:rsid w:val="00CB0664"/>
    <w:rsid w:val="00CD053D"/>
    <w:rsid w:val="00D9530B"/>
    <w:rsid w:val="00F027B5"/>
    <w:rsid w:val="00F41356"/>
    <w:rsid w:val="00F567DB"/>
    <w:rsid w:val="00FA77F6"/>
    <w:rsid w:val="00FC693F"/>
    <w:rsid w:val="00FD02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C5E2E"/>
  <w14:defaultImageDpi w14:val="300"/>
  <w15:docId w15:val="{BFD33D9C-F7B8-4EA0-9197-AD634E90F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63238"/>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b/>
      <w:bCs/>
      <w:color w:val="167D8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8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00"/>
    </w:pPr>
    <w:rPr>
      <w:rFonts w:ascii="Aptos" w:hAnsi="Aptos"/>
      <w:b/>
      <w:color w:val="17365D"/>
      <w:sz w:val="21"/>
    </w:rPr>
  </w:style>
  <w:style w:type="paragraph" w:customStyle="1" w:styleId="Small">
    <w:name w:val="Small"/>
    <w:rPr>
      <w:rFonts w:ascii="Aptos" w:hAnsi="Aptos"/>
      <w:color w:val="5B6573"/>
      <w:sz w:val="17"/>
    </w:rPr>
  </w:style>
  <w:style w:type="paragraph" w:customStyle="1" w:styleId="Source">
    <w:name w:val="Source"/>
    <w:rPr>
      <w:rFonts w:ascii="Aptos" w:hAnsi="Aptos"/>
      <w:color w:val="5B657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a91b29d-ba21-402f-b47a-c225ae57ffe9}" enabled="0" method="" siteId="{fa91b29d-ba21-402f-b47a-c225ae57ffe9}"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23</Pages>
  <Words>6473</Words>
  <Characters>36901</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MISO ERAS and the Generation Development Cycle</dc:title>
  <dc:subject>Business Acumen Playbook</dc:subject>
  <dc:creator>Coats, Broderick T</dc:creator>
  <cp:keywords>MISO, ERAS, generation, interconnection, resource adequacy, large load, Illinois</cp:keywords>
  <dc:description>generated by python-docx</dc:description>
  <cp:lastModifiedBy>Brody Coats</cp:lastModifiedBy>
  <cp:revision>2</cp:revision>
  <dcterms:created xsi:type="dcterms:W3CDTF">2026-09-27T05:39:00Z</dcterms:created>
  <dcterms:modified xsi:type="dcterms:W3CDTF">2026-09-27T05:39:00Z</dcterms:modified>
  <cp:category/>
</cp:coreProperties>
</file>