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b/>
          <w:bCs/>
          <w:color w:val="2E75B6"/>
          <w:sz w:val="48"/>
          <w:szCs w:val="48"/>
        </w:rPr>
        <w:t xml:space="preserve">Treasury Agent</w:t>
      </w:r>
    </w:p>
    <w:p>
      <w:pPr>
        <w:spacing w:after="480"/>
        <w:jc w:val="center"/>
      </w:pPr>
      <w:r>
        <w:rPr>
          <w:sz w:val="28"/>
          <w:szCs w:val="28"/>
        </w:rPr>
        <w:t xml:space="preserve">Corporate Stablecoin Treasury + AI Agent Banking for Emerging Markets</w:t>
      </w:r>
    </w:p>
    <w:p>
      <w:pPr>
        <w:spacing w:after="240"/>
        <w:jc w:val="center"/>
      </w:pPr>
      <w:r>
        <w:rPr>
          <w:sz w:val="24"/>
          <w:szCs w:val="24"/>
        </w:rPr>
        <w:t xml:space="preserve">Business Plan &amp; Executive Summary</w:t>
      </w:r>
    </w:p>
    <w:p>
      <w:pPr>
        <w:spacing w:after="720"/>
        <w:jc w:val="center"/>
      </w:pPr>
      <w:r>
        <w:rPr>
          <w:sz w:val="22"/>
          <w:szCs w:val="22"/>
        </w:rPr>
        <w:t xml:space="preserve">April 2026</w:t>
      </w:r>
    </w:p>
    <w:p>
      <w:r>
        <w:t xml:space="preserve"/>
      </w:r>
    </w:p>
    <w:p>
      <w:r>
        <w:t xml:space="preserve"/>
      </w:r>
    </w:p>
    <w:p>
      <w:pPr>
        <w:spacing w:after="100"/>
      </w:pPr>
      <w:r>
        <w:t xml:space="preserve">Prepared for: Solana Ecosystem Partners &amp; Venture Investors</w:t>
      </w:r>
    </w:p>
    <w:p>
      <w:pPr>
        <w:spacing w:after="100"/>
      </w:pPr>
      <w:r>
        <w:t xml:space="preserve">Document Type: Confidential Business Plan</w:t>
      </w:r>
    </w:p>
    <w:p>
      <w:r>
        <w:t xml:space="preserve">Status: Active Fundraising Phase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Treasury Agent is an AI-powered corporate treasury platform designed for emerging market companies. It combines stablecoin settlement infrastructure on Solana with autonomous AI agents that optimize cash positioning, settlement timing, and multi-currency allocation across international subsidiaries.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The Problem</w:t>
      </w:r>
    </w:p>
    <w:p>
      <w:r>
        <w:t xml:space="preserve">Emerging market corporations (India, Philippines, Mexico, Vietnam) face critical treasury challenges:</w:t>
      </w:r>
    </w:p>
    <w:p>
      <w:pPr>
        <w:pStyle w:val="ListParagraph"/>
        <w:numPr>
          <w:ilvl w:val="0"/>
          <w:numId w:val="2"/>
        </w:numPr>
      </w:pPr>
      <w:r>
        <w:t xml:space="preserve">3-5 day settlement times for international transfers create float risk and working capital inefficiency</w:t>
      </w:r>
    </w:p>
    <w:p>
      <w:pPr>
        <w:pStyle w:val="ListParagraph"/>
        <w:numPr>
          <w:ilvl w:val="0"/>
          <w:numId w:val="2"/>
        </w:numPr>
      </w:pPr>
      <w:r>
        <w:t xml:space="preserve">Hidden currency conversion costs ($500-2k per transaction) drain 5-10% of transaction value</w:t>
      </w:r>
    </w:p>
    <w:p>
      <w:pPr>
        <w:pStyle w:val="ListParagraph"/>
        <w:numPr>
          <w:ilvl w:val="0"/>
          <w:numId w:val="2"/>
        </w:numPr>
      </w:pPr>
      <w:r>
        <w:t xml:space="preserve">Manual treasury operations cannot optimize across 5-15 active bank accounts in different countries</w:t>
      </w:r>
    </w:p>
    <w:p>
      <w:pPr>
        <w:pStyle w:val="ListParagraph"/>
        <w:numPr>
          <w:ilvl w:val="0"/>
          <w:numId w:val="2"/>
        </w:numPr>
      </w:pPr>
      <w:r>
        <w:t xml:space="preserve">Zero programmatic audit trails for compliance—critical for regulated sectors (fintech, healthcare, energy)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The Solution</w:t>
      </w:r>
    </w:p>
    <w:p>
      <w:r>
        <w:t xml:space="preserve">Treasury Agent solves this with:</w:t>
      </w:r>
    </w:p>
    <w:p>
      <w:pPr>
        <w:pStyle w:val="ListParagraph"/>
        <w:numPr>
          <w:ilvl w:val="0"/>
          <w:numId w:val="2"/>
        </w:numPr>
      </w:pPr>
      <w:r>
        <w:t xml:space="preserve">Solana stablecoin infrastructure: 3-second settlement, $0.001 transaction costs</w:t>
      </w:r>
    </w:p>
    <w:p>
      <w:pPr>
        <w:pStyle w:val="ListParagraph"/>
        <w:numPr>
          <w:ilvl w:val="0"/>
          <w:numId w:val="2"/>
        </w:numPr>
      </w:pPr>
      <w:r>
        <w:t xml:space="preserve">AI treasury agent: Autonomous decision-making for cash positioning, settlement routing, currency allocation</w:t>
      </w:r>
    </w:p>
    <w:p>
      <w:pPr>
        <w:pStyle w:val="ListParagraph"/>
        <w:numPr>
          <w:ilvl w:val="0"/>
          <w:numId w:val="2"/>
        </w:numPr>
      </w:pPr>
      <w:r>
        <w:t xml:space="preserve">Compliance-in-code: On-chain audit trails with programmable payment policies</w:t>
      </w:r>
    </w:p>
    <w:p>
      <w:pPr>
        <w:pStyle w:val="ListParagraph"/>
        <w:numPr>
          <w:ilvl w:val="0"/>
          <w:numId w:val="2"/>
        </w:numPr>
      </w:pPr>
      <w:r>
        <w:t xml:space="preserve">Multi-currency dashboard: Real-time visibility across all corporate bank accounts and wallets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Market Opportunity</w:t>
      </w:r>
    </w:p>
    <w:p>
      <w:r>
        <w:t xml:space="preserve">Target market: 5,000+ emerging market corporations (100-5,000 employees) managing $10M+ annual cross-border transfers.</w:t>
      </w:r>
    </w:p>
    <w:p>
      <w:pPr>
        <w:spacing w:after="120"/>
      </w:pPr>
      <w:r>
        <w:t xml:space="preserve"/>
      </w:r>
    </w:p>
    <w:p>
      <w:r>
        <w:t xml:space="preserve">Addressable market size: $50M+ annual recurring revenue opportunity based on:</w:t>
      </w:r>
    </w:p>
    <w:p>
      <w:pPr>
        <w:pStyle w:val="ListParagraph"/>
        <w:numPr>
          <w:ilvl w:val="0"/>
          <w:numId w:val="2"/>
        </w:numPr>
      </w:pPr>
      <w:r>
        <w:t xml:space="preserve">Pilot market (India): $8-12M ARR from 1,200-2,000 target accounts</w:t>
      </w:r>
    </w:p>
    <w:p>
      <w:pPr>
        <w:pStyle w:val="ListParagraph"/>
        <w:numPr>
          <w:ilvl w:val="0"/>
          <w:numId w:val="2"/>
        </w:numPr>
      </w:pPr>
      <w:r>
        <w:t xml:space="preserve">APAC expansion: $20-30M ARR (Philippines, Vietnam, Thailand, Indonesia)</w:t>
      </w:r>
    </w:p>
    <w:p>
      <w:pPr>
        <w:pStyle w:val="ListParagraph"/>
        <w:numPr>
          <w:ilvl w:val="0"/>
          <w:numId w:val="2"/>
        </w:numPr>
      </w:pPr>
      <w:r>
        <w:t xml:space="preserve">LatAm expansion: $20-30M ARR (Mexico, Brazil, Colombia, Argentina)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Business Model</w:t>
      </w:r>
    </w:p>
    <w:p>
      <w:r>
        <w:t xml:space="preserve">Tiered SaaS subscription + transaction-based revenue:</w:t>
      </w:r>
    </w:p>
    <w:p>
      <w:pPr>
        <w:pStyle w:val="ListParagraph"/>
        <w:numPr>
          <w:ilvl w:val="0"/>
          <w:numId w:val="2"/>
        </w:numPr>
      </w:pPr>
      <w:r>
        <w:t xml:space="preserve">Starter: $500/month (up to $5M annual volume)</w:t>
      </w:r>
    </w:p>
    <w:p>
      <w:pPr>
        <w:pStyle w:val="ListParagraph"/>
        <w:numPr>
          <w:ilvl w:val="0"/>
          <w:numId w:val="2"/>
        </w:numPr>
      </w:pPr>
      <w:r>
        <w:t xml:space="preserve">Professional: $1,500/month (up to $25M annual volume)</w:t>
      </w:r>
    </w:p>
    <w:p>
      <w:pPr>
        <w:pStyle w:val="ListParagraph"/>
        <w:numPr>
          <w:ilvl w:val="0"/>
          <w:numId w:val="2"/>
        </w:numPr>
      </w:pPr>
      <w:r>
        <w:t xml:space="preserve">Enterprise: $2,000/month (unlimited volume)</w:t>
      </w:r>
    </w:p>
    <w:p>
      <w:pPr>
        <w:pStyle w:val="ListParagraph"/>
        <w:numPr>
          <w:ilvl w:val="0"/>
          <w:numId w:val="2"/>
        </w:numPr>
      </w:pPr>
      <w:r>
        <w:t xml:space="preserve">Settlement spread: 5-10 basis points on stablecoin transfers (captured through optimized routing)</w:t>
      </w:r>
    </w:p>
    <w:p>
      <w:pPr>
        <w:pStyle w:val="ListParagraph"/>
        <w:numPr>
          <w:ilvl w:val="0"/>
          <w:numId w:val="2"/>
        </w:numPr>
      </w:pPr>
      <w:r>
        <w:t xml:space="preserve">AI agent premium: $50-100/month for automated treasury optimization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Financial Projections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Recurring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$280k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Settlement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$450M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$1.2B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Go-to-Market Strategy</w:t>
      </w:r>
    </w:p>
    <w:p>
      <w:pPr>
        <w:pStyle w:val="Heading1"/>
      </w:pPr>
      <w:r>
        <w:t xml:space="preserve">Section 1: Market Analysis</w:t>
      </w:r>
    </w:p>
    <w:p>
      <w:r>
        <w:t xml:space="preserve">Target Market Definition</w:t>
      </w:r>
    </w:p>
    <w:p>
      <w:pPr>
        <w:pStyle w:val="ListParagraph"/>
        <w:numPr>
          <w:ilvl w:val="0"/>
          <w:numId w:val="2"/>
        </w:numPr>
      </w:pPr>
      <w:r>
        <w:t xml:space="preserve">Primary: Mid-sized corporations in India, Philippines, Mexico, Vietnam (100-5,000 employees)</w:t>
      </w:r>
    </w:p>
    <w:p>
      <w:pPr>
        <w:pStyle w:val="ListParagraph"/>
        <w:numPr>
          <w:ilvl w:val="0"/>
          <w:numId w:val="2"/>
        </w:numPr>
      </w:pPr>
      <w:r>
        <w:t xml:space="preserve">Secondary: Tech companies, fintech, healthcare, manufacturing with $10M+ annual cross-border volume</w:t>
      </w:r>
    </w:p>
    <w:p>
      <w:pPr>
        <w:pStyle w:val="ListParagraph"/>
        <w:numPr>
          <w:ilvl w:val="0"/>
          <w:numId w:val="2"/>
        </w:numPr>
      </w:pPr>
      <w:r>
        <w:t xml:space="preserve">Tertiary: Accelerator portfolio companies needing managed treasury operations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Settlement Speed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Agents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Compliance-in-Code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LocalPay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Latinum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2-5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Verisettle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seconds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Treasury Agent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 seconds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Advanced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Full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Section 2: Product &amp; Technology</w:t>
      </w:r>
    </w:p>
    <w:p>
      <w:r>
        <w:t xml:space="preserve">Core Features</w:t>
      </w:r>
    </w:p>
    <w:p>
      <w:pPr>
        <w:pStyle w:val="ListParagraph"/>
        <w:numPr>
          <w:ilvl w:val="0"/>
          <w:numId w:val="2"/>
        </w:numPr>
      </w:pPr>
      <w:r>
        <w:t xml:space="preserve">Multi-currency dashboard: Real-time view across 5-15 bank accounts and stablecoin wallets</w:t>
      </w:r>
    </w:p>
    <w:p>
      <w:pPr>
        <w:pStyle w:val="ListParagraph"/>
        <w:numPr>
          <w:ilvl w:val="0"/>
          <w:numId w:val="2"/>
        </w:numPr>
      </w:pPr>
      <w:r>
        <w:t xml:space="preserve">Automated settlement routing: AI routes to lowest-cost corridor (bank transfer, stablecoin bridge, local payment network)</w:t>
      </w:r>
    </w:p>
    <w:p>
      <w:pPr>
        <w:pStyle w:val="ListParagraph"/>
        <w:numPr>
          <w:ilvl w:val="0"/>
          <w:numId w:val="2"/>
        </w:numPr>
      </w:pPr>
      <w:r>
        <w:t xml:space="preserve">Programmatic compliance: Audit trails, transaction policies, and approval workflows on-chain</w:t>
      </w:r>
    </w:p>
    <w:p>
      <w:pPr>
        <w:pStyle w:val="ListParagraph"/>
        <w:numPr>
          <w:ilvl w:val="0"/>
          <w:numId w:val="2"/>
        </w:numPr>
      </w:pPr>
      <w:r>
        <w:t xml:space="preserve">Currency forecasting: AI predicts settlement delays and currency volatility to optimize timing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Section 3: Go-to-Market Strategy</w:t>
      </w:r>
    </w:p>
    <w:p>
      <w:pPr>
        <w:pStyle w:val="Heading2"/>
      </w:pPr>
      <w:r>
        <w:t xml:space="preserve">India Pilot (Q3 2026)</w:t>
      </w:r>
    </w:p>
    <w:p>
      <w:pPr>
        <w:pStyle w:val="ListParagraph"/>
        <w:numPr>
          <w:ilvl w:val="0"/>
          <w:numId w:val="2"/>
        </w:numPr>
      </w:pPr>
      <w:r>
        <w:t xml:space="preserve">Partner with 3-5 accelerators (Techstars India, LetsVenture network) for warm intros</w:t>
      </w:r>
    </w:p>
    <w:p>
      <w:pPr>
        <w:pStyle w:val="ListParagraph"/>
        <w:numPr>
          <w:ilvl w:val="0"/>
          <w:numId w:val="2"/>
        </w:numPr>
      </w:pPr>
      <w:r>
        <w:t xml:space="preserve">Target tech-enabled corporations: B2B SaaS, fintech, logistics with existing USD/INR flows</w:t>
      </w:r>
    </w:p>
    <w:p>
      <w:pPr>
        <w:pStyle w:val="ListParagraph"/>
        <w:numPr>
          <w:ilvl w:val="0"/>
          <w:numId w:val="2"/>
        </w:numPr>
      </w:pPr>
      <w:r>
        <w:t xml:space="preserve">Revenue goal: 50-100 pilot customers by end of Q3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APAC Expansion (Q4 2026 - Q1 2027)</w:t>
      </w:r>
    </w:p>
    <w:p>
      <w:pPr>
        <w:pStyle w:val="ListParagraph"/>
        <w:numPr>
          <w:ilvl w:val="0"/>
          <w:numId w:val="2"/>
        </w:numPr>
      </w:pPr>
      <w:r>
        <w:t xml:space="preserve">Expand to Philippines, Vietnam, Thailand, Indonesia</w:t>
      </w:r>
    </w:p>
    <w:p>
      <w:pPr>
        <w:pStyle w:val="ListParagraph"/>
        <w:numPr>
          <w:ilvl w:val="0"/>
          <w:numId w:val="2"/>
        </w:numPr>
      </w:pPr>
      <w:r>
        <w:t xml:space="preserve">Localize currencies: PHP, VND, THB, IDR stablecoins</w:t>
      </w:r>
    </w:p>
    <w:p>
      <w:pPr>
        <w:pStyle w:val="ListParagraph"/>
        <w:numPr>
          <w:ilvl w:val="0"/>
          <w:numId w:val="2"/>
        </w:numPr>
      </w:pPr>
      <w:r>
        <w:t xml:space="preserve">Revenue goal: 300-500 active customers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LatAm Expansion (Q2 2027+)</w:t>
      </w:r>
    </w:p>
    <w:p>
      <w:pPr>
        <w:pStyle w:val="ListParagraph"/>
        <w:numPr>
          <w:ilvl w:val="0"/>
          <w:numId w:val="2"/>
        </w:numPr>
      </w:pPr>
      <w:r>
        <w:t xml:space="preserve">Mexico, Brazil, Colombia, Argentina</w:t>
      </w:r>
    </w:p>
    <w:p>
      <w:pPr>
        <w:pStyle w:val="ListParagraph"/>
        <w:numPr>
          <w:ilvl w:val="0"/>
          <w:numId w:val="2"/>
        </w:numPr>
      </w:pPr>
      <w:r>
        <w:t xml:space="preserve">Localize for MXN, BRL, COP, ARS</w:t>
      </w:r>
    </w:p>
    <w:p>
      <w:pPr>
        <w:pStyle w:val="ListParagraph"/>
        <w:numPr>
          <w:ilvl w:val="0"/>
          <w:numId w:val="2"/>
        </w:numPr>
      </w:pPr>
      <w:r>
        <w:t xml:space="preserve">Revenue goal: 1,000+ customers, $3M+ ARR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Section 4: Financial Model</w:t>
      </w:r>
    </w:p>
    <w:p>
      <w:pPr>
        <w:pStyle w:val="Heading2"/>
      </w:pPr>
      <w:r>
        <w:t xml:space="preserve">Unit Economics (Per Customer)</w:t>
      </w:r>
    </w:p>
    <w:p>
      <w:pPr>
        <w:pStyle w:val="ListParagraph"/>
        <w:numPr>
          <w:ilvl w:val="0"/>
          <w:numId w:val="2"/>
        </w:numPr>
      </w:pPr>
      <w:r>
        <w:t xml:space="preserve">Monthly SaaS: $500-2,000 (based on volume tier)</w:t>
      </w:r>
    </w:p>
    <w:p>
      <w:pPr>
        <w:pStyle w:val="ListParagraph"/>
        <w:numPr>
          <w:ilvl w:val="0"/>
          <w:numId w:val="2"/>
        </w:numPr>
      </w:pPr>
      <w:r>
        <w:t xml:space="preserve">Settlement spread: $2,000-5,000/month (5-10 bps on $20M-50M monthly volume)</w:t>
      </w:r>
    </w:p>
    <w:p>
      <w:pPr>
        <w:pStyle w:val="ListParagraph"/>
        <w:numPr>
          <w:ilvl w:val="0"/>
          <w:numId w:val="2"/>
        </w:numPr>
      </w:pPr>
      <w:r>
        <w:t xml:space="preserve">AI premium: $50-100/month</w:t>
      </w:r>
    </w:p>
    <w:p>
      <w:pPr>
        <w:pStyle w:val="ListParagraph"/>
        <w:numPr>
          <w:ilvl w:val="0"/>
          <w:numId w:val="2"/>
        </w:numPr>
      </w:pPr>
      <w:r>
        <w:t xml:space="preserve">Average contract value: $25-40k/year</w:t>
      </w:r>
    </w:p>
    <w:p>
      <w:pPr>
        <w:pStyle w:val="ListParagraph"/>
        <w:numPr>
          <w:ilvl w:val="0"/>
          <w:numId w:val="2"/>
        </w:numPr>
      </w:pPr>
      <w:r>
        <w:t xml:space="preserve">Gross margin: 75-82% (platform SaaS margins)</w:t>
      </w:r>
    </w:p>
    <w:p>
      <w:pPr>
        <w:pStyle w:val="ListParagraph"/>
        <w:numPr>
          <w:ilvl w:val="0"/>
          <w:numId w:val="2"/>
        </w:numPr>
      </w:pPr>
      <w:r>
        <w:t xml:space="preserve">Customer acquisition cost: $3-5k (warm intros via accelerators)</w:t>
      </w:r>
    </w:p>
    <w:p>
      <w:pPr>
        <w:pStyle w:val="ListParagraph"/>
        <w:numPr>
          <w:ilvl w:val="0"/>
          <w:numId w:val="2"/>
        </w:numPr>
      </w:pPr>
      <w:r>
        <w:t xml:space="preserve">Payback period: 3-4 months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Section 5: Execution Plan</w:t>
      </w:r>
    </w:p>
    <w:p>
      <w:pPr>
        <w:pStyle w:val="Heading2"/>
      </w:pPr>
      <w:r>
        <w:t xml:space="preserve">60-Day MVP Timeline</w:t>
      </w:r>
    </w:p>
    <w:p>
      <w:pPr>
        <w:pStyle w:val="ListParagraph"/>
        <w:numPr>
          <w:ilvl w:val="0"/>
          <w:numId w:val="3"/>
        </w:numPr>
      </w:pPr>
      <w:r>
        <w:t xml:space="preserve">Weeks 1-2: Market validation, accelerator partnerships, 20 customer interviews</w:t>
      </w:r>
    </w:p>
    <w:p>
      <w:pPr>
        <w:pStyle w:val="ListParagraph"/>
        <w:numPr>
          <w:ilvl w:val="0"/>
          <w:numId w:val="3"/>
        </w:numPr>
      </w:pPr>
      <w:r>
        <w:t xml:space="preserve">Weeks 3-4: Build MVP dashboard, Solana stablecoin integration, basic settlement routing</w:t>
      </w:r>
    </w:p>
    <w:p>
      <w:pPr>
        <w:pStyle w:val="ListParagraph"/>
        <w:numPr>
          <w:ilvl w:val="0"/>
          <w:numId w:val="3"/>
        </w:numPr>
      </w:pPr>
      <w:r>
        <w:t xml:space="preserve">Weeks 5-6: Pilot with 5-10 accelerator companies, iterate on feedback</w:t>
      </w:r>
    </w:p>
    <w:p>
      <w:pPr>
        <w:pStyle w:val="ListParagraph"/>
        <w:numPr>
          <w:ilvl w:val="0"/>
          <w:numId w:val="3"/>
        </w:numPr>
      </w:pPr>
      <w:r>
        <w:t xml:space="preserve">Weeks 7-8: Prepare fundraise materials, reach out to angels/micro-VCs (Solana-focused funds)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Section 6: Team &amp; Funding</w:t>
      </w:r>
    </w:p>
    <w:p>
      <w:pPr>
        <w:pStyle w:val="Heading2"/>
      </w:pPr>
      <w:r>
        <w:t xml:space="preserve">Funding Requirements</w:t>
      </w:r>
    </w:p>
    <w:p>
      <w:pPr>
        <w:pStyle w:val="ListParagraph"/>
        <w:numPr>
          <w:ilvl w:val="0"/>
          <w:numId w:val="2"/>
        </w:numPr>
      </w:pPr>
      <w:r>
        <w:t xml:space="preserve">Seed round: $500k</w:t>
      </w:r>
    </w:p>
    <w:p>
      <w:pPr>
        <w:pStyle w:val="ListParagraph"/>
        <w:numPr>
          <w:ilvl w:val="0"/>
          <w:numId w:val="2"/>
        </w:numPr>
      </w:pPr>
      <w:r>
        <w:t xml:space="preserve">Engineering (50%): $250k — 2-3 full-stack engineers, 1 AI/ML specialist</w:t>
      </w:r>
    </w:p>
    <w:p>
      <w:pPr>
        <w:pStyle w:val="ListParagraph"/>
        <w:numPr>
          <w:ilvl w:val="0"/>
          <w:numId w:val="2"/>
        </w:numPr>
      </w:pPr>
      <w:r>
        <w:t xml:space="preserve">Go-to-Market (30%): $150k — 2 business development, 1 customer success</w:t>
      </w:r>
    </w:p>
    <w:p>
      <w:pPr>
        <w:pStyle w:val="ListParagraph"/>
        <w:numPr>
          <w:ilvl w:val="0"/>
          <w:numId w:val="2"/>
        </w:numPr>
      </w:pPr>
      <w:r>
        <w:t xml:space="preserve">Operations (20%): $100k — Legal, compliance, infrastructure, admin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Funding Targets</w:t>
      </w:r>
    </w:p>
    <w:p>
      <w:pPr>
        <w:pStyle w:val="ListParagraph"/>
        <w:numPr>
          <w:ilvl w:val="0"/>
          <w:numId w:val="2"/>
        </w:numPr>
      </w:pPr>
      <w:r>
        <w:t xml:space="preserve">Solana Ventures: Strategic investor + distribution</w:t>
      </w:r>
    </w:p>
    <w:p>
      <w:pPr>
        <w:pStyle w:val="ListParagraph"/>
        <w:numPr>
          <w:ilvl w:val="0"/>
          <w:numId w:val="2"/>
        </w:numPr>
      </w:pPr>
      <w:r>
        <w:t xml:space="preserve">Pantera Capital: Emerging markets focus</w:t>
      </w:r>
    </w:p>
    <w:p>
      <w:pPr>
        <w:pStyle w:val="ListParagraph"/>
        <w:numPr>
          <w:ilvl w:val="0"/>
          <w:numId w:val="2"/>
        </w:numPr>
      </w:pPr>
      <w:r>
        <w:t xml:space="preserve">a16z crypto: Fintech/treasury products</w:t>
      </w:r>
    </w:p>
    <w:p>
      <w:pPr>
        <w:pStyle w:val="ListParagraph"/>
        <w:numPr>
          <w:ilvl w:val="0"/>
          <w:numId w:val="2"/>
        </w:numPr>
      </w:pPr>
      <w:r>
        <w:t xml:space="preserve">Emerging markets angel syndicate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Section 7: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Stablecoin regulation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with local compliant stablecoin issuers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Human-in-loop for large decisions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education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training + partnerships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Solana network downtime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to traditional banks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Competition from legacy fintech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on speed, cost, compliance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Closing Statement</w:t>
      </w:r>
    </w:p>
    <w:p>
      <w:r>
        <w:t xml:space="preserve">Treasury Agent addresses a $50M+ market opportunity by combining three innovations: Solana stablecoin infrastructure for instant settlement, AI agents for autonomous treasury optimization, and compliance-in-code for audit trails. By targeting emerging markets before large incumbents recognize the opportunity, we can establish market leadership and sustainable unit economics within 12 months.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2026-04-14T20:47:08.127Z</dcterms:created>
  <dcterms:modified xsi:type="dcterms:W3CDTF">2026-04-14T20:47:08.127Z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