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sz w:val="36"/>
        </w:rPr>
        <w:t>La confianza ya viene: edad, cohortes y períodos en la confianza institucional del Chile de los últimos 20 años</w:t>
      </w:r>
    </w:p>
    <w:p>
      <w:pPr>
        <w:spacing w:after="40"/>
      </w:pPr>
      <w:r>
        <w:rPr>
          <w:sz w:val="22"/>
        </w:rPr>
        <w:t>Gonzalo Bustamante Rojas &amp; Alonso Quintero Contreras</w:t>
      </w:r>
    </w:p>
    <w:p>
      <w:pPr>
        <w:spacing w:after="240"/>
      </w:pPr>
      <w:r>
        <w:rPr>
          <w:i/>
          <w:color w:val="555555"/>
          <w:sz w:val="19"/>
        </w:rPr>
        <w:t>4to Congreso Latinoamericano de Ciencias Sociales y Gobierno de la Triada 2026 — Ciudad de México, octubre 2026.</w:t>
      </w:r>
    </w:p>
    <w:p>
      <w:pPr>
        <w:pStyle w:val="Heading1"/>
      </w:pPr>
      <w:r>
        <w:t>1. Pregunta e idea central</w:t>
      </w:r>
    </w:p>
    <w:p>
      <w:pPr>
        <w:spacing w:after="160" w:line="276" w:lineRule="auto"/>
      </w:pPr>
      <w:r>
        <w:t>Este análisis pregunta si existe una ruptura generacional real en la confianza institucional chilena — distinta del simple efecto de la edad de las personas o de la coyuntura del momento en que fueron encuestadas (efecto de período) — y, si existe, dónde se ubica exactamente. La confianza institucional en Chile ha caído de forma sostenida en las últimas dos décadas, y una explicación intuitiva es generacional: que las cohortes más jóvenes, socializadas en un contexto político distinto al de sus padres o abuelos, sencillamente confían menos (o más) en las instituciones. Pero esa intuición es difícil de aislar estadísticamente, porque edad, período y cohorte están matemáticamente ligados (cohorte = período − edad): cualquier diferencia observada entre generaciones podría deberse en realidad a que las personas confían distinto según la etapa de vida en que se encuentran, o según el momento político específico en que fueron encuestadas, y no a la generación a la que pertenecen.</w:t>
      </w:r>
    </w:p>
    <w:p>
      <w:pPr>
        <w:spacing w:after="160" w:line="276" w:lineRule="auto"/>
      </w:pPr>
      <w:r>
        <w:t>El análisis usa el panel armonizado de la Encuesta Bicentenario (PUCV), que cubre 18 olas entre 2006 y 2025, y estudia la confianza en cinco instituciones por separado: Gobierno, Parlamento, Partidos políticos, Fuerzas Armadas e Iglesia. El hallazgo central: de todas las fronteras generacionales candidatas puestas a prueba, solo una sobrevive de forma robusta — el corte de 1994/1995, que coincide con el nacimiento de la llamada Generación del estallido.</w:t>
      </w:r>
    </w:p>
    <w:p>
      <w:pPr>
        <w:pStyle w:val="Heading1"/>
      </w:pPr>
      <w:r>
        <w:t>2. Los datos: un panel armonizado, no un panel de verdad</w:t>
      </w:r>
    </w:p>
    <w:p>
      <w:pPr>
        <w:spacing w:after="160" w:line="276" w:lineRule="auto"/>
      </w:pPr>
      <w:r>
        <w:t xml:space="preserve">Es importante ser precisos con el término “panel” acá. Bicentenario no sigue a las mismas personas en el tiempo — es una serie de encuestas transversales independientes, con una muestra nueva cada año (~1.900 casos por ola). “Armonizado” se refiere al trabajo de construir, a partir de esas ~18 bases sueltas —cada una con su propio cuestionario, sus propios nombres de variable y a veces escalas invertidas—, un solo archivo largo donde la misma variable significa lo mismo en todos los años: renombrar preguntas equivalentes que cambian de código año a año, invertir la dirección de escalas que no son consistentes, dejar como perdido el dato en los años donde una pregunta simplemente no se hizo (en vez de inventar un valor), y descartar variables que existen pero que cambiaron tanto de formulación (framing) que ya no son comparables aunque tengan nombre parecido. El resultado es un archivo largo con una variable </w:t>
      </w:r>
      <w:r>
        <w:rPr>
          <w:i/>
        </w:rPr>
        <w:t>year</w:t>
      </w:r>
      <w:r>
        <w:t xml:space="preserve"> que identifica la ola de cada observación — lo que en la práctica permite analizarlo como un pool de cortes transversales repetidos, no como un panel longitudinal en sentido estricto.</w:t>
      </w:r>
    </w:p>
    <w:p>
      <w:pPr>
        <w:spacing w:after="160" w:line="276" w:lineRule="auto"/>
      </w:pPr>
      <w:r>
        <w:t>Las cinco variables de confianza institucional no están disponibles en todas las olas — el ítem correspondiente simplemente no se incluyó en el cuestionario ciertos años. El detalle:</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1872"/>
            <w:shd w:val="clear" w:color="auto" w:fill="2F4B7C"/>
          </w:tcPr>
          <w:p>
            <w:r>
              <w:rPr>
                <w:b/>
                <w:color w:val="FFFFFF"/>
                <w:sz w:val="20"/>
              </w:rPr>
              <w:t>Institución</w:t>
            </w:r>
          </w:p>
        </w:tc>
        <w:tc>
          <w:tcPr>
            <w:tcW w:type="dxa" w:w="2160"/>
            <w:shd w:val="clear" w:color="auto" w:fill="2F4B7C"/>
          </w:tcPr>
          <w:p>
            <w:r>
              <w:rPr>
                <w:b/>
                <w:color w:val="FFFFFF"/>
                <w:sz w:val="20"/>
              </w:rPr>
              <w:t>N observaciones</w:t>
            </w:r>
          </w:p>
        </w:tc>
        <w:tc>
          <w:tcPr>
            <w:tcW w:type="dxa" w:w="1728"/>
            <w:shd w:val="clear" w:color="auto" w:fill="2F4B7C"/>
          </w:tcPr>
          <w:p>
            <w:r>
              <w:rPr>
                <w:b/>
                <w:color w:val="FFFFFF"/>
                <w:sz w:val="20"/>
              </w:rPr>
              <w:t>Olas con datos</w:t>
            </w:r>
          </w:p>
        </w:tc>
        <w:tc>
          <w:tcPr>
            <w:tcW w:type="dxa" w:w="3888"/>
            <w:shd w:val="clear" w:color="auto" w:fill="2F4B7C"/>
          </w:tcPr>
          <w:p>
            <w:r>
              <w:rPr>
                <w:b/>
                <w:color w:val="FFFFFF"/>
                <w:sz w:val="20"/>
              </w:rPr>
              <w:t>Años sin dato</w:t>
            </w:r>
          </w:p>
        </w:tc>
      </w:tr>
      <w:tr>
        <w:tc>
          <w:tcPr>
            <w:tcW w:type="dxa" w:w="1872"/>
          </w:tcPr>
          <w:p>
            <w:r>
              <w:rPr>
                <w:sz w:val="20"/>
              </w:rPr>
              <w:t>Gobierno</w:t>
            </w:r>
          </w:p>
        </w:tc>
        <w:tc>
          <w:tcPr>
            <w:tcW w:type="dxa" w:w="2160"/>
          </w:tcPr>
          <w:p>
            <w:r>
              <w:rPr>
                <w:sz w:val="20"/>
              </w:rPr>
              <w:t>24.421</w:t>
            </w:r>
          </w:p>
        </w:tc>
        <w:tc>
          <w:tcPr>
            <w:tcW w:type="dxa" w:w="1728"/>
          </w:tcPr>
          <w:p>
            <w:r>
              <w:rPr>
                <w:sz w:val="20"/>
              </w:rPr>
              <w:t>13 / 18</w:t>
            </w:r>
          </w:p>
        </w:tc>
        <w:tc>
          <w:tcPr>
            <w:tcW w:type="dxa" w:w="3888"/>
          </w:tcPr>
          <w:p>
            <w:r>
              <w:rPr>
                <w:sz w:val="20"/>
              </w:rPr>
              <w:t>2007, 2008, 2009, 2013, 2014</w:t>
            </w:r>
          </w:p>
        </w:tc>
      </w:tr>
      <w:tr>
        <w:tc>
          <w:tcPr>
            <w:tcW w:type="dxa" w:w="1872"/>
          </w:tcPr>
          <w:p>
            <w:r>
              <w:rPr>
                <w:sz w:val="20"/>
              </w:rPr>
              <w:t>Parlamento</w:t>
            </w:r>
          </w:p>
        </w:tc>
        <w:tc>
          <w:tcPr>
            <w:tcW w:type="dxa" w:w="2160"/>
          </w:tcPr>
          <w:p>
            <w:r>
              <w:rPr>
                <w:sz w:val="20"/>
              </w:rPr>
              <w:t>28.292</w:t>
            </w:r>
          </w:p>
        </w:tc>
        <w:tc>
          <w:tcPr>
            <w:tcW w:type="dxa" w:w="1728"/>
          </w:tcPr>
          <w:p>
            <w:r>
              <w:rPr>
                <w:sz w:val="20"/>
              </w:rPr>
              <w:t>15 / 18</w:t>
            </w:r>
          </w:p>
        </w:tc>
        <w:tc>
          <w:tcPr>
            <w:tcW w:type="dxa" w:w="3888"/>
          </w:tcPr>
          <w:p>
            <w:r>
              <w:rPr>
                <w:sz w:val="20"/>
              </w:rPr>
              <w:t>2007, 2008, 2009</w:t>
            </w:r>
          </w:p>
        </w:tc>
      </w:tr>
      <w:tr>
        <w:tc>
          <w:tcPr>
            <w:tcW w:type="dxa" w:w="1872"/>
          </w:tcPr>
          <w:p>
            <w:r>
              <w:rPr>
                <w:sz w:val="20"/>
              </w:rPr>
              <w:t>Partidos</w:t>
            </w:r>
          </w:p>
        </w:tc>
        <w:tc>
          <w:tcPr>
            <w:tcW w:type="dxa" w:w="2160"/>
          </w:tcPr>
          <w:p>
            <w:r>
              <w:rPr>
                <w:sz w:val="20"/>
              </w:rPr>
              <w:t>26.306</w:t>
            </w:r>
          </w:p>
        </w:tc>
        <w:tc>
          <w:tcPr>
            <w:tcW w:type="dxa" w:w="1728"/>
          </w:tcPr>
          <w:p>
            <w:r>
              <w:rPr>
                <w:sz w:val="20"/>
              </w:rPr>
              <w:t>14 / 18</w:t>
            </w:r>
          </w:p>
        </w:tc>
        <w:tc>
          <w:tcPr>
            <w:tcW w:type="dxa" w:w="3888"/>
          </w:tcPr>
          <w:p>
            <w:r>
              <w:rPr>
                <w:sz w:val="20"/>
              </w:rPr>
              <w:t>2007, 2008, 2009, 2013</w:t>
            </w:r>
          </w:p>
        </w:tc>
      </w:tr>
      <w:tr>
        <w:tc>
          <w:tcPr>
            <w:tcW w:type="dxa" w:w="1872"/>
          </w:tcPr>
          <w:p>
            <w:r>
              <w:rPr>
                <w:sz w:val="20"/>
              </w:rPr>
              <w:t>FF.AA.</w:t>
            </w:r>
          </w:p>
        </w:tc>
        <w:tc>
          <w:tcPr>
            <w:tcW w:type="dxa" w:w="2160"/>
          </w:tcPr>
          <w:p>
            <w:r>
              <w:rPr>
                <w:sz w:val="20"/>
              </w:rPr>
              <w:t>26.354</w:t>
            </w:r>
          </w:p>
        </w:tc>
        <w:tc>
          <w:tcPr>
            <w:tcW w:type="dxa" w:w="1728"/>
          </w:tcPr>
          <w:p>
            <w:r>
              <w:rPr>
                <w:sz w:val="20"/>
              </w:rPr>
              <w:t>14 / 18</w:t>
            </w:r>
          </w:p>
        </w:tc>
        <w:tc>
          <w:tcPr>
            <w:tcW w:type="dxa" w:w="3888"/>
          </w:tcPr>
          <w:p>
            <w:r>
              <w:rPr>
                <w:sz w:val="20"/>
              </w:rPr>
              <w:t>2007, 2008, 2009, 2013</w:t>
            </w:r>
          </w:p>
        </w:tc>
      </w:tr>
      <w:tr>
        <w:tc>
          <w:tcPr>
            <w:tcW w:type="dxa" w:w="1872"/>
          </w:tcPr>
          <w:p>
            <w:r>
              <w:rPr>
                <w:sz w:val="20"/>
              </w:rPr>
              <w:t>Iglesia</w:t>
            </w:r>
          </w:p>
        </w:tc>
        <w:tc>
          <w:tcPr>
            <w:tcW w:type="dxa" w:w="2160"/>
          </w:tcPr>
          <w:p>
            <w:r>
              <w:rPr>
                <w:sz w:val="20"/>
              </w:rPr>
              <w:t>28.375</w:t>
            </w:r>
          </w:p>
        </w:tc>
        <w:tc>
          <w:tcPr>
            <w:tcW w:type="dxa" w:w="1728"/>
          </w:tcPr>
          <w:p>
            <w:r>
              <w:rPr>
                <w:sz w:val="20"/>
              </w:rPr>
              <w:t>15 / 18</w:t>
            </w:r>
          </w:p>
        </w:tc>
        <w:tc>
          <w:tcPr>
            <w:tcW w:type="dxa" w:w="3888"/>
          </w:tcPr>
          <w:p>
            <w:r>
              <w:rPr>
                <w:sz w:val="20"/>
              </w:rPr>
              <w:t>2007, 2008, 2009</w:t>
            </w:r>
          </w:p>
        </w:tc>
      </w:tr>
    </w:tbl>
    <w:p>
      <w:pPr>
        <w:spacing w:after="200"/>
      </w:pPr>
    </w:p>
    <w:p>
      <w:pPr>
        <w:spacing w:after="160" w:line="276" w:lineRule="auto"/>
      </w:pPr>
      <w:r>
        <w:t>Los tres años 2007-2009 quedan sin dato para las cinco instituciones por igual (la batería de confianza institucional no está en esas bases fuente); 2013 y 2014 tienen bajas puntuales adicionales para Gobierno, Partidos y FF.AA. El N anual ronda 1.500-2.000 casos, con una caída visible en el período 2023-2025 (~1.550-1.610) frente al resto del panel.</w:t>
      </w:r>
    </w:p>
    <w:p>
      <w:pPr>
        <w:pStyle w:val="Heading1"/>
      </w:pPr>
      <w:r>
        <w:t>3. El modelo: edad, período y cohorte, separados a propósito</w:t>
      </w:r>
    </w:p>
    <w:p>
      <w:pPr>
        <w:spacing w:after="160" w:line="276" w:lineRule="auto"/>
      </w:pPr>
      <w:r>
        <w:t xml:space="preserve">El modelo sigue el enfoque estándar para el problema de identificación edad-período-cohorte (APC): la edad entra como efecto fijo con un término cuadrático (para permitir que el efecto de la edad no sea lineal — que suba y luego baje, por ejemplo), la cohorte entra como efecto fijo categórico, y el período entra como </w:t>
      </w:r>
      <w:r>
        <w:rPr>
          <w:i/>
        </w:rPr>
        <w:t>intercepto aleatorio</w:t>
      </w:r>
      <w:r>
        <w:t xml:space="preserve"> por año de encuesta, siguiendo el enfoque de Bargsted y Maldonado (2018). Esta combinación —dos efectos fijos y uno aleatorio— es la forma habitual de sortear la colinealidad exacta entre las tres variables sin tener que imponer una restricción arbitraria sobre alguna de ellas.</w:t>
      </w:r>
    </w:p>
    <w:p>
      <w:pPr>
        <w:spacing w:after="160" w:line="276" w:lineRule="auto"/>
      </w:pPr>
      <w:r>
        <w:t xml:space="preserve">El diseño muestral se incorpora como ponderador (“pweight”) con errores estándar robustos, en vez de usar el prefijo </w:t>
      </w:r>
      <w:r>
        <w:rPr>
          <w:rFonts w:ascii="Consolas" w:hAnsi="Consolas"/>
          <w:color w:val="333333"/>
          <w:sz w:val="20"/>
        </w:rPr>
        <w:t>svy:</w:t>
      </w:r>
      <w:r>
        <w:t xml:space="preserve"> de Stata — que no se propaga correctamente a través de modelos multinivel con efectos aleatorios anidados. Esto corrige el punto estimado por probabilidad de selección, aunque no replica el efecto de diseño completo de la estratificación y el conglomerado más allá del año.</w:t>
      </w:r>
    </w:p>
    <w:p>
      <w:pPr>
        <w:pStyle w:val="Heading1"/>
      </w:pPr>
      <w:r>
        <w:t>4. Tres formas de medir confianza, puestas a prueba en paralelo</w:t>
      </w:r>
    </w:p>
    <w:p>
      <w:pPr>
        <w:spacing w:after="160" w:line="276" w:lineRule="auto"/>
      </w:pPr>
      <w:r>
        <w:t>La variable de confianza institucional viene en una escala ordinal de 1 a 5 (“nada” a “mucha” confianza). Cómo tratar esa escala en el modelo no es una decisión trivial, y el análisis pasó por tres etapas antes de asentarse en una especificación final.</w:t>
      </w:r>
    </w:p>
    <w:p>
      <w:pPr>
        <w:pStyle w:val="Heading2"/>
      </w:pPr>
      <w:r>
        <w:t>4.1 Continua (z-score)</w:t>
      </w:r>
    </w:p>
    <w:p>
      <w:pPr>
        <w:spacing w:after="160" w:line="276" w:lineRule="auto"/>
      </w:pPr>
      <w:r>
        <w:t>La primera aproximación fue tratar la escala como continua, estandarizándola (z-score) por año. Es la opción que da más potencia estadística, pero impone un supuesto: que los residuos del modelo se distribuyen normalmente. Ese supuesto se testeó directamente —revisando skewness, kurtosis, histogramas y gráficos QQ de los residuos— y se encontró que se rompe en serio justo en Parlamento y Partidos, las dos instituciones con confianza más baja y con la mayoría de las respuestas amontonadas en “nada de confianza” (un problema de piso de la escala). En FF.AA. la violación es prácticamente nula.</w:t>
      </w:r>
    </w:p>
    <w:tbl>
      <w:tblPr>
        <w:tblW w:type="auto" w:w="0"/>
        <w:jc w:val="center"/>
        <w:tblLayout w:type="fixed"/>
        <w:tblLook w:firstColumn="1" w:firstRow="1" w:lastColumn="0" w:lastRow="0" w:noHBand="0" w:noVBand="1" w:val="04A0"/>
      </w:tblPr>
      <w:tblGrid>
        <w:gridCol w:w="9648"/>
      </w:tblGrid>
      <w:tr>
        <w:tc>
          <w:tcPr>
            <w:tcW w:type="dxa" w:w="9648"/>
            <w:shd w:val="clear" w:color="auto" w:fill="EFEFEF"/>
          </w:tcPr>
          <w:p>
            <w:pPr>
              <w:spacing w:before="120" w:after="120"/>
            </w:pPr>
            <w:r>
              <w:rPr>
                <w:b/>
                <w:i/>
                <w:color w:val="555555"/>
              </w:rPr>
              <w:t xml:space="preserve">FIGURA — insertar aquí: </w:t>
            </w:r>
            <w:r>
              <w:rPr>
                <w:rFonts w:ascii="Consolas" w:hAnsi="Consolas"/>
                <w:b/>
                <w:i/>
                <w:color w:val="1A1A1A"/>
                <w:sz w:val="18"/>
              </w:rPr>
              <w:t>Auxiliar/3_normalidad_parlamento.png · 3_normalidad_partidos.png · 3_normalidad_ffaa.png</w:t>
            </w:r>
          </w:p>
          <w:p>
            <w:r>
              <w:rPr>
                <w:i/>
                <w:color w:val="666666"/>
                <w:sz w:val="18"/>
              </w:rPr>
              <w:t>histogramas y QQ-plots de residuos — comparar el peor caso (Parlamento/Partidos) contra el mejor (FF.AA.)</w:t>
            </w:r>
          </w:p>
        </w:tc>
      </w:tr>
    </w:tbl>
    <w:p>
      <w:pPr>
        <w:spacing w:after="200"/>
      </w:pPr>
    </w:p>
    <w:p>
      <w:pPr>
        <w:pStyle w:val="Heading2"/>
      </w:pPr>
      <w:r>
        <w:t>4.2 Binaria (top-2-box)</w:t>
      </w:r>
    </w:p>
    <w:p>
      <w:pPr>
        <w:spacing w:after="160" w:line="276" w:lineRule="auto"/>
      </w:pPr>
      <w:r>
        <w:t>La alternativa clásica para evitar el problema de normalidad es dicotomizar: convertir la escala en “confía” (4-5) versus “no confía” (1-3) y correr un modelo logístico, que no impone ningún supuesto sobre la distribución de la variable observada. Pero dicotomizar tiene un costo conocido: al colapsar cinco categorías en dos, se pierde información y potencia estadística. Ese costo dejó de ser una advertencia teórica y se volvió evidencia concreta al testear la frontera de 1994/1995: la especificación binaria falla en detectarla justo en Parlamento y Partidos (no significativa), las mismas dos instituciones donde ya se sabía que había sesgo de piso. La continua y la ordinal sí la detectan ahí sin problema.</w:t>
      </w:r>
    </w:p>
    <w:p>
      <w:pPr>
        <w:pStyle w:val="Heading2"/>
      </w:pPr>
      <w:r>
        <w:t>4.3 Ordinal (la especificación final)</w:t>
      </w:r>
    </w:p>
    <w:p>
      <w:pPr>
        <w:spacing w:after="160" w:line="276" w:lineRule="auto"/>
      </w:pPr>
      <w:r>
        <w:t>La especificación ordinal resuelve los dos problemas a la vez: usa toda la información de la escala 1-5 (no pierde potencia como la binaria) y no asume normalidad de la variable observada — solo de una variable latente subyacente, con puntos de corte libres entre categorías, que sí se puede estimar sin ese supuesto problemático. Por eso quedó como la especificación principal del análisis.</w:t>
      </w:r>
    </w:p>
    <w:tbl>
      <w:tblPr>
        <w:tblW w:type="auto" w:w="0"/>
        <w:jc w:val="center"/>
        <w:tblLayout w:type="fixed"/>
        <w:tblLook w:firstColumn="1" w:firstRow="1" w:lastColumn="0" w:lastRow="0" w:noHBand="0" w:noVBand="1" w:val="04A0"/>
      </w:tblPr>
      <w:tblGrid>
        <w:gridCol w:w="9648"/>
      </w:tblGrid>
      <w:tr>
        <w:tc>
          <w:tcPr>
            <w:tcW w:type="dxa" w:w="9648"/>
            <w:shd w:val="clear" w:color="auto" w:fill="EFEFEF"/>
          </w:tcPr>
          <w:p>
            <w:pPr>
              <w:spacing w:before="120" w:after="120"/>
            </w:pPr>
            <w:r>
              <w:rPr>
                <w:b/>
                <w:i/>
                <w:color w:val="555555"/>
              </w:rPr>
              <w:t xml:space="preserve">FIGURA — insertar aquí: </w:t>
            </w:r>
            <w:r>
              <w:rPr>
                <w:rFonts w:ascii="Consolas" w:hAnsi="Consolas"/>
                <w:b/>
                <w:i/>
                <w:color w:val="1A1A1A"/>
                <w:sz w:val="18"/>
              </w:rPr>
              <w:t>Principal/tabla_1c_ordinal.rtf</w:t>
            </w:r>
          </w:p>
          <w:p>
            <w:r>
              <w:rPr>
                <w:i/>
                <w:color w:val="666666"/>
                <w:sz w:val="18"/>
              </w:rPr>
              <w:t>tabla de resultados de la especificación ordinal, las 5 instituciones</w:t>
            </w:r>
          </w:p>
        </w:tc>
      </w:tr>
    </w:tbl>
    <w:p>
      <w:pPr>
        <w:spacing w:after="200"/>
      </w:pPr>
    </w:p>
    <w:p>
      <w:pPr>
        <w:spacing w:after="160" w:line="276" w:lineRule="auto"/>
      </w:pPr>
      <w:r>
        <w:t>Las tres especificaciones se mantuvieron corriendo en paralelo durante todo el análisis — ninguna se descartó del todo. La binaria y la continua quedan documentadas como evidencia de robustez, no escondidas.</w:t>
      </w:r>
    </w:p>
    <w:p>
      <w:pPr>
        <w:pStyle w:val="Heading1"/>
      </w:pPr>
      <w:r>
        <w:t>5. Tres candidatos para la frontera generacional</w:t>
      </w:r>
    </w:p>
    <w:p>
      <w:pPr>
        <w:spacing w:after="160" w:line="276" w:lineRule="auto"/>
      </w:pPr>
      <w:r>
        <w:t>Todas las estimaciones parten de cohortes quinquenales (bloques fijos de 5 años de nacimiento) como base — una forma de evitar elegir a dedo dónde poner una frontera generacional. Sobre esa base se pusieron a prueba tres esquemas candidatos de dónde debería estar el quiebre real, con 225 tests de Wald en total:</w:t>
      </w:r>
    </w:p>
    <w:p>
      <w:pPr>
        <w:spacing w:after="160" w:line="276" w:lineRule="auto"/>
      </w:pPr>
      <w:r>
        <w:rPr>
          <w:b/>
        </w:rPr>
        <w:t xml:space="preserve">Taxonomía importada. </w:t>
      </w:r>
      <w:r>
        <w:t>La clasificación popular Silenciosa / Baby Boomer / Generación X / Millennial / Generación Z, usada en reportes chilenos recientes (del Solar &amp; Fernández, 2024) pero que Didier (2017) critica por ser fronteras sin anclaje en la experiencia histórica local — importadas del contexto estadounidense sin adaptación. Esa crítica se confirmó empíricamente: casi todas sus fronteras resultaron no significativas.</w:t>
      </w:r>
    </w:p>
    <w:p>
      <w:pPr>
        <w:spacing w:after="160" w:line="276" w:lineRule="auto"/>
      </w:pPr>
      <w:r>
        <w:rPr>
          <w:b/>
        </w:rPr>
        <w:t xml:space="preserve">Periodización histórico-local propia. </w:t>
      </w:r>
      <w:r>
        <w:t>Una periodización construida para este proyecto, inspirada en el argumento de Araujo y Martuccelli (2012) de que la subjetividad se forma en condiciones históricas concretas — verificado directamente que el libro no propone ninguna tabla de cohortes literal, esto es una operacionalización propia del equipo sobre ese argumento — y extendida con la Generación del estallido siguiendo la lógica de “años impresionables” de Mannheim (1928) y Krosnick y Alwin (1989). De sus cuatro fronteras candidatas (1949/1950, 1964/1965, 1979/1980 y 1994/1995), solo la última sobrevivió.</w:t>
      </w:r>
    </w:p>
    <w:p>
      <w:pPr>
        <w:spacing w:after="160" w:line="276" w:lineRule="auto"/>
      </w:pPr>
      <w:r>
        <w:rPr>
          <w:b/>
        </w:rPr>
        <w:t xml:space="preserve">Corte único de transición democrática. </w:t>
      </w:r>
      <w:r>
        <w:t>Siguiendo el enfoque de Balcells y Villamil (2026) para España (edad 18 en la muerte de Franco, 1975), se probó un corte análogo para Chile: edad 18 en el plebiscito de 1988 o en el retorno a la democracia de 1990. Prácticamente rechazado en las ~20 pruebas correspondientes.</w:t>
      </w:r>
    </w:p>
    <w:p>
      <w:pPr>
        <w:spacing w:after="160" w:line="276" w:lineRule="auto"/>
      </w:pPr>
      <w:r>
        <w:t>Las fronteras candidatas que no coinciden con un borde de la grilla quinquenal (las de la taxonomía importada y del corte único) se testean con una variable auxiliar de resolución fina alrededor de cada corte específico — una ventana de ±2 años de nacimiento a cada lado (año individual, ±1, para el par de Balcells, cuyos dos cortes están a solo 2 años de distancia entre sí). Esta ventana angosta es deliberada: comparar generaciones completas en vez de años adyacentes al borde confundiría un quiebre genuino con una simple tendencia gradual — si la confianza sube o baja de forma pareja con cada cohorte de nacimiento sin ningún salto real, comparar promedios de grupos amplios da “significativo” en casi cualquier corte que se elija, sin que eso pruebe que ese corte en particular sea el correcto.</w:t>
      </w:r>
    </w:p>
    <w:p>
      <w:pPr>
        <w:pStyle w:val="Heading1"/>
      </w:pPr>
      <w:r>
        <w:t>6. Resultados</w:t>
      </w:r>
    </w:p>
    <w:p>
      <w:pPr>
        <w:spacing w:after="160" w:line="276" w:lineRule="auto"/>
      </w:pPr>
      <w:r>
        <w:t>De todas las fronteras candidatas entre los tres esquemas, solo una sobrevive de forma robusta: 1994/1995, la Generación del estallido. El patrón varía por institución:</w:t>
      </w:r>
    </w:p>
    <w:p>
      <w:pPr>
        <w:spacing w:after="160" w:line="276" w:lineRule="auto"/>
      </w:pPr>
      <w:r>
        <w:rPr>
          <w:b/>
        </w:rPr>
        <w:t xml:space="preserve">Gobierno y FF.AA.: </w:t>
      </w:r>
      <w:r>
        <w:t>robusta en las tres especificaciones de la variable dependiente (binaria, continua y ordinal).</w:t>
      </w:r>
    </w:p>
    <w:p>
      <w:pPr>
        <w:spacing w:after="160" w:line="276" w:lineRule="auto"/>
      </w:pPr>
      <w:r>
        <w:rPr>
          <w:b/>
        </w:rPr>
        <w:t xml:space="preserve">Parlamento y Partidos: </w:t>
      </w:r>
      <w:r>
        <w:t>robusta en continua y ordinal; no significativa en binaria — consistente con el problema de potencia ya documentado en esas dos instituciones.</w:t>
      </w:r>
    </w:p>
    <w:p>
      <w:pPr>
        <w:spacing w:after="160" w:line="276" w:lineRule="auto"/>
      </w:pPr>
      <w:r>
        <w:rPr>
          <w:b/>
        </w:rPr>
        <w:t xml:space="preserve">Iglesia: </w:t>
      </w:r>
      <w:r>
        <w:t>el patrón es mucho más débil y depende de la especificación — solo alcanza significancia en la comparación estadísticamente más potente de todas las que se probaron (post-estallido contra todo el resto del panel en un modelo de un solo predictor), no en ninguna de las otras formas de testearla. No se debería afirmar que Iglesia “no tiene ruptura generacional” en términos absolutos, sino que su señal es marginal y mucho menos robusta que la de las otras cuatro instituciones.</w:t>
      </w:r>
    </w:p>
    <w:tbl>
      <w:tblPr>
        <w:tblW w:type="auto" w:w="0"/>
        <w:jc w:val="center"/>
        <w:tblLayout w:type="fixed"/>
        <w:tblLook w:firstColumn="1" w:firstRow="1" w:lastColumn="0" w:lastRow="0" w:noHBand="0" w:noVBand="1" w:val="04A0"/>
      </w:tblPr>
      <w:tblGrid>
        <w:gridCol w:w="9648"/>
      </w:tblGrid>
      <w:tr>
        <w:tc>
          <w:tcPr>
            <w:tcW w:type="dxa" w:w="9648"/>
            <w:shd w:val="clear" w:color="auto" w:fill="EFEFEF"/>
          </w:tcPr>
          <w:p>
            <w:pPr>
              <w:spacing w:before="120" w:after="120"/>
            </w:pPr>
            <w:r>
              <w:rPr>
                <w:b/>
                <w:i/>
                <w:color w:val="555555"/>
              </w:rPr>
              <w:t xml:space="preserve">FIGURA — insertar aquí: </w:t>
            </w:r>
            <w:r>
              <w:rPr>
                <w:rFonts w:ascii="Consolas" w:hAnsi="Consolas"/>
                <w:b/>
                <w:i/>
                <w:color w:val="1A1A1A"/>
                <w:sz w:val="18"/>
              </w:rPr>
              <w:t>Principal/4_brecha_estallido.png · 7_brecha_estallido_prob.png</w:t>
            </w:r>
          </w:p>
          <w:p>
            <w:r>
              <w:rPr>
                <w:i/>
                <w:color w:val="666666"/>
                <w:sz w:val="18"/>
              </w:rPr>
              <w:t>el hallazgo confirmado, en dos escalas (z-score y % que confía) — la figura más directa del paper</w:t>
            </w:r>
          </w:p>
        </w:tc>
      </w:tr>
    </w:tbl>
    <w:p>
      <w:pPr>
        <w:spacing w:after="200"/>
      </w:pPr>
    </w:p>
    <w:p>
      <w:pPr>
        <w:pStyle w:val="Heading1"/>
      </w:pPr>
      <w:r>
        <w:t>7. La evidencia de robustez, en cuatro ángulos</w:t>
      </w:r>
    </w:p>
    <w:p>
      <w:pPr>
        <w:spacing w:after="160" w:line="276" w:lineRule="auto"/>
      </w:pPr>
      <w:r>
        <w:t>El mismo hallazgo se sostiene mirado desde cuatro ángulos complementarios, cada uno con un propósito distinto:</w:t>
      </w:r>
    </w:p>
    <w:p>
      <w:pPr>
        <w:spacing w:after="160" w:line="276" w:lineRule="auto"/>
      </w:pPr>
      <w:r>
        <w:rPr>
          <w:b/>
        </w:rPr>
        <w:t xml:space="preserve">Los 225 tests de Wald crudos </w:t>
      </w:r>
      <w:r>
        <w:t>(las tres encrucijadas completas, todas las especificaciones) — la base de todo lo demás.</w:t>
      </w:r>
    </w:p>
    <w:tbl>
      <w:tblPr>
        <w:tblW w:type="auto" w:w="0"/>
        <w:jc w:val="center"/>
        <w:tblLayout w:type="fixed"/>
        <w:tblLook w:firstColumn="1" w:firstRow="1" w:lastColumn="0" w:lastRow="0" w:noHBand="0" w:noVBand="1" w:val="04A0"/>
      </w:tblPr>
      <w:tblGrid>
        <w:gridCol w:w="9648"/>
      </w:tblGrid>
      <w:tr>
        <w:tc>
          <w:tcPr>
            <w:tcW w:type="dxa" w:w="9648"/>
            <w:shd w:val="clear" w:color="auto" w:fill="EFEFEF"/>
          </w:tcPr>
          <w:p>
            <w:pPr>
              <w:spacing w:before="120" w:after="120"/>
            </w:pPr>
            <w:r>
              <w:rPr>
                <w:b/>
                <w:i/>
                <w:color w:val="555555"/>
              </w:rPr>
              <w:t xml:space="preserve">FIGURA — insertar aquí: </w:t>
            </w:r>
            <w:r>
              <w:rPr>
                <w:rFonts w:ascii="Consolas" w:hAnsi="Consolas"/>
                <w:b/>
                <w:i/>
                <w:color w:val="1A1A1A"/>
                <w:sz w:val="18"/>
              </w:rPr>
              <w:t>Principal/8_specification_curve.png</w:t>
            </w:r>
          </w:p>
          <w:p>
            <w:r>
              <w:rPr>
                <w:i/>
                <w:color w:val="666666"/>
                <w:sz w:val="18"/>
              </w:rPr>
              <w:t>curva de especificaciones — las 10 fronteras candidatas de las tres encrucijadas juntas en una sola figura, mostrando de un vistazo cuál sobrevive y cuáles no (técnica de Simonsohn, Simmons &amp; Nelson 2020 / Steegen et al. 2016)</w:t>
            </w:r>
          </w:p>
        </w:tc>
      </w:tr>
    </w:tbl>
    <w:p>
      <w:pPr>
        <w:spacing w:after="200"/>
      </w:pPr>
    </w:p>
    <w:tbl>
      <w:tblPr>
        <w:tblW w:type="auto" w:w="0"/>
        <w:jc w:val="center"/>
        <w:tblLayout w:type="fixed"/>
        <w:tblLook w:firstColumn="1" w:firstRow="1" w:lastColumn="0" w:lastRow="0" w:noHBand="0" w:noVBand="1" w:val="04A0"/>
      </w:tblPr>
      <w:tblGrid>
        <w:gridCol w:w="9648"/>
      </w:tblGrid>
      <w:tr>
        <w:tc>
          <w:tcPr>
            <w:tcW w:type="dxa" w:w="9648"/>
            <w:shd w:val="clear" w:color="auto" w:fill="EFEFEF"/>
          </w:tcPr>
          <w:p>
            <w:pPr>
              <w:spacing w:before="120" w:after="120"/>
            </w:pPr>
            <w:r>
              <w:rPr>
                <w:b/>
                <w:i/>
                <w:color w:val="555555"/>
              </w:rPr>
              <w:t xml:space="preserve">FIGURA — insertar aquí: </w:t>
            </w:r>
            <w:r>
              <w:rPr>
                <w:rFonts w:ascii="Consolas" w:hAnsi="Consolas"/>
                <w:b/>
                <w:i/>
                <w:color w:val="1A1A1A"/>
                <w:sz w:val="18"/>
              </w:rPr>
              <w:t>Principal/5_forest_encrucijadas.png</w:t>
            </w:r>
          </w:p>
          <w:p>
            <w:r>
              <w:rPr>
                <w:i/>
                <w:color w:val="666666"/>
                <w:sz w:val="18"/>
              </w:rPr>
              <w:t>dentro del esquema quinquenal, las 13 fronteras entre cohortes consecutivas — dónde exactamente, al detalle más fino posible con este panel, se concentra el quiebre</w:t>
            </w:r>
          </w:p>
        </w:tc>
      </w:tr>
    </w:tbl>
    <w:p>
      <w:pPr>
        <w:spacing w:after="200"/>
      </w:pPr>
    </w:p>
    <w:tbl>
      <w:tblPr>
        <w:tblW w:type="auto" w:w="0"/>
        <w:jc w:val="center"/>
        <w:tblLayout w:type="fixed"/>
        <w:tblLook w:firstColumn="1" w:firstRow="1" w:lastColumn="0" w:lastRow="0" w:noHBand="0" w:noVBand="1" w:val="04A0"/>
      </w:tblPr>
      <w:tblGrid>
        <w:gridCol w:w="9648"/>
      </w:tblGrid>
      <w:tr>
        <w:tc>
          <w:tcPr>
            <w:tcW w:type="dxa" w:w="9648"/>
            <w:shd w:val="clear" w:color="auto" w:fill="EFEFEF"/>
          </w:tcPr>
          <w:p>
            <w:pPr>
              <w:spacing w:before="120" w:after="120"/>
            </w:pPr>
            <w:r>
              <w:rPr>
                <w:b/>
                <w:i/>
                <w:color w:val="555555"/>
              </w:rPr>
              <w:t xml:space="preserve">FIGURA — insertar aquí: </w:t>
            </w:r>
            <w:r>
              <w:rPr>
                <w:rFonts w:ascii="Consolas" w:hAnsi="Consolas"/>
                <w:b/>
                <w:i/>
                <w:color w:val="1A1A1A"/>
                <w:sz w:val="18"/>
              </w:rPr>
              <w:t>Principal/6_tendencia_temporal.png</w:t>
            </w:r>
          </w:p>
          <w:p>
            <w:r>
              <w:rPr>
                <w:i/>
                <w:color w:val="666666"/>
                <w:sz w:val="18"/>
              </w:rPr>
              <w:t>contexto descriptivo: evolución de la confianza 2006-2025 sin ajustar por cohorte ni edad, para situar el hallazgo generacional dentro de la tendencia general</w:t>
            </w:r>
          </w:p>
        </w:tc>
      </w:tr>
    </w:tbl>
    <w:p>
      <w:pPr>
        <w:spacing w:after="200"/>
      </w:pPr>
    </w:p>
    <w:p>
      <w:pPr>
        <w:spacing w:after="160" w:line="276" w:lineRule="auto"/>
      </w:pPr>
      <w:r>
        <w:t>Las cuatro miradas convergen en el mismo punto: la Generación del estallido es la única ruptura generacional real y robusta en Gobierno, Parlamento, Partidos y FF.AA. Iglesia es la excepción parcial, con una señal presente pero débil.</w:t>
      </w:r>
    </w:p>
    <w:p>
      <w:pPr>
        <w:pStyle w:val="Heading1"/>
      </w:pPr>
      <w:r>
        <w:t>8. Notas para quien cure este documento</w:t>
      </w:r>
    </w:p>
    <w:p>
      <w:pPr>
        <w:spacing w:after="160" w:line="276" w:lineRule="auto"/>
      </w:pPr>
      <w:r>
        <w:t xml:space="preserve">Este documento describe la metodología y los hallazgos en prosa, sin las figuras insertadas — los recuadros grises marcados “FIGURA” indican dónde va cada gráfico y de qué archivo, todos disponibles en la carpeta </w:t>
      </w:r>
      <w:r>
        <w:rPr>
          <w:rFonts w:ascii="Consolas" w:hAnsi="Consolas"/>
          <w:color w:val="333333"/>
          <w:sz w:val="20"/>
        </w:rPr>
        <w:t>Principal/</w:t>
      </w:r>
      <w:r>
        <w:t xml:space="preserve"> del repositorio. Las tablas de resultados completas (coeficientes, errores estándar, AIC/BIC) están en formato .rtf en la misma carpeta y en </w:t>
      </w:r>
      <w:r>
        <w:rPr>
          <w:rFonts w:ascii="Consolas" w:hAnsi="Consolas"/>
          <w:color w:val="333333"/>
          <w:sz w:val="20"/>
        </w:rPr>
        <w:t>Auxiliar/</w:t>
      </w:r>
      <w:r>
        <w:t xml:space="preserve"> para las especificaciones de robustez. El archivo </w:t>
      </w:r>
      <w:r>
        <w:rPr>
          <w:rFonts w:ascii="Consolas" w:hAnsi="Consolas"/>
          <w:color w:val="333333"/>
          <w:sz w:val="20"/>
        </w:rPr>
        <w:t>README.md</w:t>
      </w:r>
      <w:r>
        <w:t xml:space="preserve"> del repositorio tiene el mapa completo de archivos y la especificación metodológica en formato más técnico/telegráfico, útil como referencia cruzada.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