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4845E" w14:textId="77777777" w:rsidR="0072209E" w:rsidRPr="00FA0569" w:rsidRDefault="00000000">
      <w:pPr>
        <w:spacing w:after="120"/>
        <w:rPr>
          <w:rFonts w:ascii="Times New Roman" w:hAnsi="Times New Roman" w:cs="Times New Roman"/>
          <w:lang w:val="es-CL"/>
        </w:rPr>
      </w:pPr>
      <w:r w:rsidRPr="00FA0569">
        <w:rPr>
          <w:rFonts w:ascii="Times New Roman" w:hAnsi="Times New Roman" w:cs="Times New Roman"/>
          <w:b/>
          <w:sz w:val="36"/>
          <w:lang w:val="es-CL"/>
        </w:rPr>
        <w:t>La confianza ya viene: edad, cohortes y períodos en la confianza institucional del Chile de los últimos 20 años</w:t>
      </w:r>
    </w:p>
    <w:p w14:paraId="23C6E4D0" w14:textId="77777777" w:rsidR="0072209E" w:rsidRPr="00FA0569" w:rsidRDefault="00000000">
      <w:pPr>
        <w:spacing w:after="40"/>
        <w:rPr>
          <w:rFonts w:ascii="Times New Roman" w:hAnsi="Times New Roman" w:cs="Times New Roman"/>
          <w:lang w:val="es-CL"/>
        </w:rPr>
      </w:pPr>
      <w:r w:rsidRPr="00FA0569">
        <w:rPr>
          <w:rFonts w:ascii="Times New Roman" w:hAnsi="Times New Roman" w:cs="Times New Roman"/>
          <w:lang w:val="es-CL"/>
        </w:rPr>
        <w:t>Gonzalo Bustamante Rojas &amp; Alonso Quintero Contreras</w:t>
      </w:r>
    </w:p>
    <w:p w14:paraId="2044D129" w14:textId="77777777" w:rsidR="0072209E" w:rsidRPr="00FA0569" w:rsidRDefault="00000000">
      <w:pPr>
        <w:spacing w:after="240"/>
        <w:rPr>
          <w:rFonts w:ascii="Times New Roman" w:hAnsi="Times New Roman" w:cs="Times New Roman"/>
          <w:lang w:val="es-CL"/>
        </w:rPr>
      </w:pPr>
      <w:r w:rsidRPr="00FA0569">
        <w:rPr>
          <w:rFonts w:ascii="Times New Roman" w:hAnsi="Times New Roman" w:cs="Times New Roman"/>
          <w:i/>
          <w:color w:val="555555"/>
          <w:sz w:val="19"/>
          <w:lang w:val="es-CL"/>
        </w:rPr>
        <w:t>4to Congreso Latinoamericano de Ciencias Sociales y Gobierno de la Triada 2026 — Ciudad de México, octubre 2026.</w:t>
      </w:r>
    </w:p>
    <w:p w14:paraId="0B18E452" w14:textId="77777777" w:rsidR="0072209E" w:rsidRPr="00FA0569" w:rsidRDefault="00000000">
      <w:pPr>
        <w:pStyle w:val="Ttulo1"/>
        <w:rPr>
          <w:rFonts w:ascii="Times New Roman" w:hAnsi="Times New Roman" w:cs="Times New Roman"/>
          <w:lang w:val="es-CL"/>
        </w:rPr>
      </w:pPr>
      <w:r w:rsidRPr="00FA0569">
        <w:rPr>
          <w:rFonts w:ascii="Times New Roman" w:hAnsi="Times New Roman" w:cs="Times New Roman"/>
          <w:lang w:val="es-CL"/>
        </w:rPr>
        <w:t>1. Pregunta e idea central</w:t>
      </w:r>
    </w:p>
    <w:p w14:paraId="54FBC9C5" w14:textId="21955A31" w:rsidR="0072209E" w:rsidRPr="00FA0569" w:rsidRDefault="00000000" w:rsidP="004A64E9">
      <w:pPr>
        <w:spacing w:after="160"/>
        <w:jc w:val="both"/>
        <w:rPr>
          <w:rFonts w:ascii="Times New Roman" w:hAnsi="Times New Roman" w:cs="Times New Roman"/>
          <w:lang w:val="es-CL"/>
        </w:rPr>
      </w:pPr>
      <w:r w:rsidRPr="00FA0569">
        <w:rPr>
          <w:rFonts w:ascii="Times New Roman" w:hAnsi="Times New Roman" w:cs="Times New Roman"/>
          <w:lang w:val="es-CL"/>
        </w:rPr>
        <w:t xml:space="preserve">Este análisis pregunta si existe una ruptura generacional real en la confianza institucional chilena </w:t>
      </w:r>
      <w:r w:rsidR="000E063F" w:rsidRPr="00FA0569">
        <w:rPr>
          <w:rFonts w:ascii="Times New Roman" w:hAnsi="Times New Roman" w:cs="Times New Roman"/>
          <w:lang w:val="es-CL"/>
        </w:rPr>
        <w:t>(</w:t>
      </w:r>
      <w:r w:rsidRPr="00FA0569">
        <w:rPr>
          <w:rFonts w:ascii="Times New Roman" w:hAnsi="Times New Roman" w:cs="Times New Roman"/>
          <w:lang w:val="es-CL"/>
        </w:rPr>
        <w:t>distinta del simple efecto de la edad de las personas o de la coyuntura del momento en que fueron encuestadas</w:t>
      </w:r>
      <w:r w:rsidR="000E063F" w:rsidRPr="00FA0569">
        <w:rPr>
          <w:rFonts w:ascii="Times New Roman" w:hAnsi="Times New Roman" w:cs="Times New Roman"/>
          <w:lang w:val="es-CL"/>
        </w:rPr>
        <w:t xml:space="preserve">) </w:t>
      </w:r>
      <w:r w:rsidRPr="00FA0569">
        <w:rPr>
          <w:rFonts w:ascii="Times New Roman" w:hAnsi="Times New Roman" w:cs="Times New Roman"/>
          <w:lang w:val="es-CL"/>
        </w:rPr>
        <w:t>y, si existe, dónde se ubica exactamente. La confianza institucional en Chile ha caído de forma sostenida en las últimas dos décadas, y una explicación intuitiva es generacional: que las cohortes más jóvenes, socializadas en un contexto político distinto al de sus padres o abuelos, sencillamente confían menos (o más) en las instituciones. Pero esa intuición es difícil de aislar estadísticamente, porque edad, período y cohorte están matemáticamente ligados (cohorte = período − edad): cualquier diferencia observada entre generaciones podría deberse en realidad a que las personas confían distinto según la etapa de vida en que se encuentran, o según el momento político específico en que fueron encuestadas, y no a la generación a la que pertenecen.</w:t>
      </w:r>
    </w:p>
    <w:p w14:paraId="5A787C4E" w14:textId="77777777" w:rsidR="0072209E" w:rsidRPr="00FA0569" w:rsidRDefault="00000000" w:rsidP="004A64E9">
      <w:pPr>
        <w:spacing w:after="160"/>
        <w:jc w:val="both"/>
        <w:rPr>
          <w:rFonts w:ascii="Times New Roman" w:hAnsi="Times New Roman" w:cs="Times New Roman"/>
          <w:lang w:val="es-CL"/>
        </w:rPr>
      </w:pPr>
      <w:r w:rsidRPr="00FA0569">
        <w:rPr>
          <w:rFonts w:ascii="Times New Roman" w:hAnsi="Times New Roman" w:cs="Times New Roman"/>
          <w:lang w:val="es-CL"/>
        </w:rPr>
        <w:t>El análisis usa el panel armonizado de la Encuesta Bicentenario (PUCV), que cubre 18 olas entre 2006 y 2025, y estudia la confianza en cinco instituciones por separado: Gobierno, Parlamento, Partidos políticos, Fuerzas Armadas e Iglesia. El hallazgo central: de todas las fronteras generacionales candidatas puestas a prueba, solo una sobrevive de forma robusta — el corte de 1994/1995, que coincide con el nacimiento de la llamada Generación del estallido.</w:t>
      </w:r>
    </w:p>
    <w:p w14:paraId="5B45B232" w14:textId="6561993A" w:rsidR="0072209E" w:rsidRPr="00FA0569" w:rsidRDefault="0060648D" w:rsidP="004A64E9">
      <w:pPr>
        <w:rPr>
          <w:rFonts w:ascii="Times New Roman" w:hAnsi="Times New Roman" w:cs="Times New Roman"/>
          <w:b/>
          <w:bCs/>
          <w:lang w:val="es-CL"/>
        </w:rPr>
      </w:pPr>
      <w:r w:rsidRPr="00FA0569">
        <w:rPr>
          <w:rFonts w:ascii="Times New Roman" w:hAnsi="Times New Roman" w:cs="Times New Roman"/>
          <w:b/>
          <w:bCs/>
          <w:lang w:val="es-CL"/>
        </w:rPr>
        <w:t>Datos:</w:t>
      </w:r>
    </w:p>
    <w:p w14:paraId="66C86250" w14:textId="5DE5E0B0" w:rsidR="0072209E" w:rsidRPr="00FA0569" w:rsidRDefault="00C3479D" w:rsidP="0060648D">
      <w:pPr>
        <w:spacing w:after="160"/>
        <w:jc w:val="both"/>
        <w:rPr>
          <w:rFonts w:ascii="Times New Roman" w:hAnsi="Times New Roman" w:cs="Times New Roman"/>
          <w:lang w:val="es-CL"/>
        </w:rPr>
      </w:pPr>
      <w:r w:rsidRPr="00FA0569">
        <w:rPr>
          <w:rFonts w:ascii="Times New Roman" w:hAnsi="Times New Roman" w:cs="Times New Roman"/>
          <w:lang w:val="es-CL"/>
        </w:rPr>
        <w:t>Los datos provienen de los conjuntos anuales correspondiente a la Encuesta Bicentenario. Al ser muestras independientes repetidas en el tiempo (alrededor de 1900 casos por iteración) se trata de una muestra agrupada o “</w:t>
      </w:r>
      <w:r w:rsidRPr="00FA0569">
        <w:rPr>
          <w:rFonts w:ascii="Times New Roman" w:hAnsi="Times New Roman" w:cs="Times New Roman"/>
          <w:i/>
          <w:iCs/>
          <w:lang w:val="es-CL"/>
        </w:rPr>
        <w:t>pooled sample”</w:t>
      </w:r>
      <w:r w:rsidR="00651D8D" w:rsidRPr="00FA0569">
        <w:rPr>
          <w:rFonts w:ascii="Times New Roman" w:hAnsi="Times New Roman" w:cs="Times New Roman"/>
          <w:lang w:val="es-CL"/>
        </w:rPr>
        <w:t>, una sólo conjunto de datos que contiene las observaciones de cada ronda con el identificador del año.</w:t>
      </w:r>
      <w:r w:rsidR="00FA149A" w:rsidRPr="00FA0569">
        <w:rPr>
          <w:rFonts w:ascii="Times New Roman" w:hAnsi="Times New Roman" w:cs="Times New Roman"/>
          <w:lang w:val="es-CL"/>
        </w:rPr>
        <w:t xml:space="preserve"> Para el análisis se consideraron aquellas palabras donde tanto la pronunciación como las opciones de respuesta sea lo más similar posible (incluyendo las instrucciones al/la encuestador/a)</w:t>
      </w:r>
      <w:r w:rsidR="007078C6" w:rsidRPr="00FA0569">
        <w:rPr>
          <w:rFonts w:ascii="Times New Roman" w:hAnsi="Times New Roman" w:cs="Times New Roman"/>
          <w:lang w:val="es-CL"/>
        </w:rPr>
        <w:t>, para asegurar la comparabilidad de estas</w:t>
      </w:r>
      <w:r w:rsidR="00EF78B0" w:rsidRPr="00FA0569">
        <w:rPr>
          <w:rFonts w:ascii="Times New Roman" w:hAnsi="Times New Roman" w:cs="Times New Roman"/>
          <w:lang w:val="es-CL"/>
        </w:rPr>
        <w:t>. Se mantuvieron también las variables de caracterización demográfica como la edad, educación, clasificación de ni</w:t>
      </w:r>
      <w:r w:rsidR="0060648D" w:rsidRPr="00FA0569">
        <w:rPr>
          <w:rFonts w:ascii="Times New Roman" w:hAnsi="Times New Roman" w:cs="Times New Roman"/>
          <w:lang w:val="es-CL"/>
        </w:rPr>
        <w:t>vel socioeconómico, además de los ponderadores muestrales de cada año</w:t>
      </w:r>
      <w:r w:rsidR="007078C6" w:rsidRPr="00FA0569">
        <w:rPr>
          <w:rFonts w:ascii="Times New Roman" w:hAnsi="Times New Roman" w:cs="Times New Roman"/>
          <w:lang w:val="es-CL"/>
        </w:rPr>
        <w:t xml:space="preserve">. </w:t>
      </w:r>
      <w:r w:rsidR="0060648D" w:rsidRPr="00FA0569">
        <w:rPr>
          <w:rFonts w:ascii="Times New Roman" w:hAnsi="Times New Roman" w:cs="Times New Roman"/>
          <w:lang w:val="es-CL"/>
        </w:rPr>
        <w:t xml:space="preserve">Respecto a las variables dependientes del análisis (confianza institucional) </w:t>
      </w:r>
      <w:r w:rsidRPr="00FA0569">
        <w:rPr>
          <w:rFonts w:ascii="Times New Roman" w:hAnsi="Times New Roman" w:cs="Times New Roman"/>
          <w:lang w:val="es-CL"/>
        </w:rPr>
        <w:t xml:space="preserve">no están disponibles en todas las olas </w:t>
      </w:r>
      <w:r w:rsidR="00651D8D" w:rsidRPr="00FA0569">
        <w:rPr>
          <w:rFonts w:ascii="Times New Roman" w:hAnsi="Times New Roman" w:cs="Times New Roman"/>
          <w:lang w:val="es-CL"/>
        </w:rPr>
        <w:t xml:space="preserve">por lo que </w:t>
      </w:r>
      <w:r w:rsidRPr="00FA0569">
        <w:rPr>
          <w:rFonts w:ascii="Times New Roman" w:hAnsi="Times New Roman" w:cs="Times New Roman"/>
          <w:lang w:val="es-CL"/>
        </w:rPr>
        <w:t>el ítem correspondiente simplemente no se incluyó en el cuestionario ciertos años. El detalle</w:t>
      </w:r>
      <w:r w:rsidR="007078C6" w:rsidRPr="00FA0569">
        <w:rPr>
          <w:rFonts w:ascii="Times New Roman" w:hAnsi="Times New Roman" w:cs="Times New Roman"/>
          <w:lang w:val="es-CL"/>
        </w:rPr>
        <w:t xml:space="preserve"> se muestra a continuación:</w:t>
      </w:r>
    </w:p>
    <w:p w14:paraId="1BBF4082" w14:textId="6E4BC1CE" w:rsidR="007078C6" w:rsidRPr="00FA0569" w:rsidRDefault="007078C6" w:rsidP="007078C6">
      <w:pPr>
        <w:spacing w:after="0"/>
        <w:jc w:val="center"/>
        <w:rPr>
          <w:rFonts w:ascii="Times New Roman" w:hAnsi="Times New Roman" w:cs="Times New Roman"/>
          <w:b/>
          <w:bCs/>
          <w:lang w:val="es-CL"/>
        </w:rPr>
      </w:pPr>
      <w:commentRangeStart w:id="0"/>
      <w:r w:rsidRPr="00FA0569">
        <w:rPr>
          <w:rFonts w:ascii="Times New Roman" w:hAnsi="Times New Roman" w:cs="Times New Roman"/>
          <w:b/>
          <w:bCs/>
          <w:lang w:val="es-CL"/>
        </w:rPr>
        <w:t>Tabla</w:t>
      </w:r>
      <w:commentRangeEnd w:id="0"/>
      <w:r w:rsidRPr="00FA0569">
        <w:rPr>
          <w:rStyle w:val="Refdecomentario"/>
          <w:rFonts w:ascii="Times New Roman" w:hAnsi="Times New Roman" w:cs="Times New Roman"/>
          <w:b/>
          <w:bCs/>
          <w:sz w:val="22"/>
          <w:szCs w:val="22"/>
          <w:lang w:val="es-CL"/>
        </w:rPr>
        <w:commentReference w:id="0"/>
      </w:r>
      <w:r w:rsidRPr="00FA0569">
        <w:rPr>
          <w:rFonts w:ascii="Times New Roman" w:hAnsi="Times New Roman" w:cs="Times New Roman"/>
          <w:b/>
          <w:bCs/>
          <w:lang w:val="es-CL"/>
        </w:rPr>
        <w:t>: Cobertura de datos por institución en el pool Bicentenario</w:t>
      </w:r>
      <w:r w:rsidR="0060648D" w:rsidRPr="00FA0569">
        <w:rPr>
          <w:rFonts w:ascii="Times New Roman" w:hAnsi="Times New Roman" w:cs="Times New Roman"/>
          <w:b/>
          <w:bCs/>
          <w:lang w:val="es-CL"/>
        </w:rPr>
        <w:t xml:space="preserve"> UC</w:t>
      </w:r>
      <w:r w:rsidRPr="00FA0569">
        <w:rPr>
          <w:rFonts w:ascii="Times New Roman" w:hAnsi="Times New Roman" w:cs="Times New Roman"/>
          <w:b/>
          <w:bCs/>
          <w:lang w:val="es-CL"/>
        </w:rPr>
        <w:t xml:space="preserve"> (2006-2025)</w:t>
      </w:r>
    </w:p>
    <w:tbl>
      <w:tblPr>
        <w:tblStyle w:val="Tablaconcuadrcula"/>
        <w:tblW w:w="5000" w:type="pct"/>
        <w:jc w:val="center"/>
        <w:tblLook w:val="04A0" w:firstRow="1" w:lastRow="0" w:firstColumn="1" w:lastColumn="0" w:noHBand="0" w:noVBand="1"/>
      </w:tblPr>
      <w:tblGrid>
        <w:gridCol w:w="1650"/>
        <w:gridCol w:w="2242"/>
        <w:gridCol w:w="2028"/>
        <w:gridCol w:w="3718"/>
      </w:tblGrid>
      <w:tr w:rsidR="0072209E" w:rsidRPr="00FA0569" w14:paraId="44640357" w14:textId="77777777" w:rsidTr="007078C6">
        <w:trPr>
          <w:jc w:val="center"/>
        </w:trPr>
        <w:tc>
          <w:tcPr>
            <w:tcW w:w="856" w:type="pct"/>
            <w:shd w:val="clear" w:color="auto" w:fill="2F4B7C"/>
          </w:tcPr>
          <w:p w14:paraId="30707E51" w14:textId="77777777" w:rsidR="0072209E" w:rsidRPr="00FA0569" w:rsidRDefault="00000000" w:rsidP="007078C6">
            <w:pPr>
              <w:jc w:val="center"/>
              <w:rPr>
                <w:rFonts w:ascii="Times New Roman" w:hAnsi="Times New Roman" w:cs="Times New Roman"/>
              </w:rPr>
            </w:pPr>
            <w:r w:rsidRPr="00FA0569">
              <w:rPr>
                <w:rFonts w:ascii="Times New Roman" w:hAnsi="Times New Roman" w:cs="Times New Roman"/>
                <w:b/>
                <w:color w:val="FFFFFF"/>
                <w:sz w:val="20"/>
              </w:rPr>
              <w:t>Institución</w:t>
            </w:r>
          </w:p>
        </w:tc>
        <w:tc>
          <w:tcPr>
            <w:tcW w:w="1163" w:type="pct"/>
            <w:shd w:val="clear" w:color="auto" w:fill="2F4B7C"/>
          </w:tcPr>
          <w:p w14:paraId="66AAA870" w14:textId="77777777" w:rsidR="0072209E" w:rsidRPr="00FA0569" w:rsidRDefault="00000000" w:rsidP="007078C6">
            <w:pPr>
              <w:jc w:val="center"/>
              <w:rPr>
                <w:rFonts w:ascii="Times New Roman" w:hAnsi="Times New Roman" w:cs="Times New Roman"/>
              </w:rPr>
            </w:pPr>
            <w:r w:rsidRPr="00FA0569">
              <w:rPr>
                <w:rFonts w:ascii="Times New Roman" w:hAnsi="Times New Roman" w:cs="Times New Roman"/>
                <w:b/>
                <w:color w:val="FFFFFF"/>
                <w:sz w:val="20"/>
              </w:rPr>
              <w:t>N observaciones</w:t>
            </w:r>
          </w:p>
        </w:tc>
        <w:tc>
          <w:tcPr>
            <w:tcW w:w="1052" w:type="pct"/>
            <w:shd w:val="clear" w:color="auto" w:fill="2F4B7C"/>
          </w:tcPr>
          <w:p w14:paraId="3C0CC7AD" w14:textId="7A75B009" w:rsidR="0072209E" w:rsidRPr="00FA0569" w:rsidRDefault="00000000" w:rsidP="007078C6">
            <w:pPr>
              <w:jc w:val="center"/>
              <w:rPr>
                <w:rFonts w:ascii="Times New Roman" w:hAnsi="Times New Roman" w:cs="Times New Roman"/>
              </w:rPr>
            </w:pPr>
            <w:r w:rsidRPr="00FA0569">
              <w:rPr>
                <w:rFonts w:ascii="Times New Roman" w:hAnsi="Times New Roman" w:cs="Times New Roman"/>
                <w:b/>
                <w:color w:val="FFFFFF"/>
                <w:sz w:val="20"/>
              </w:rPr>
              <w:t>Olas con datos</w:t>
            </w:r>
          </w:p>
        </w:tc>
        <w:tc>
          <w:tcPr>
            <w:tcW w:w="1929" w:type="pct"/>
            <w:shd w:val="clear" w:color="auto" w:fill="2F4B7C"/>
          </w:tcPr>
          <w:p w14:paraId="5154FC68" w14:textId="77777777" w:rsidR="0072209E" w:rsidRPr="00FA0569" w:rsidRDefault="00000000" w:rsidP="007078C6">
            <w:pPr>
              <w:jc w:val="center"/>
              <w:rPr>
                <w:rFonts w:ascii="Times New Roman" w:hAnsi="Times New Roman" w:cs="Times New Roman"/>
              </w:rPr>
            </w:pPr>
            <w:r w:rsidRPr="00FA0569">
              <w:rPr>
                <w:rFonts w:ascii="Times New Roman" w:hAnsi="Times New Roman" w:cs="Times New Roman"/>
                <w:b/>
                <w:color w:val="FFFFFF"/>
                <w:sz w:val="20"/>
              </w:rPr>
              <w:t>Años sin dato</w:t>
            </w:r>
          </w:p>
        </w:tc>
      </w:tr>
      <w:tr w:rsidR="0072209E" w:rsidRPr="00FA0569" w14:paraId="20EB96B8" w14:textId="77777777" w:rsidTr="007078C6">
        <w:trPr>
          <w:jc w:val="center"/>
        </w:trPr>
        <w:tc>
          <w:tcPr>
            <w:tcW w:w="856" w:type="pct"/>
          </w:tcPr>
          <w:p w14:paraId="4BE0E71D" w14:textId="77777777" w:rsidR="0072209E" w:rsidRPr="00FA0569" w:rsidRDefault="00000000">
            <w:pPr>
              <w:rPr>
                <w:rFonts w:ascii="Times New Roman" w:hAnsi="Times New Roman" w:cs="Times New Roman"/>
              </w:rPr>
            </w:pPr>
            <w:r w:rsidRPr="00FA0569">
              <w:rPr>
                <w:rFonts w:ascii="Times New Roman" w:hAnsi="Times New Roman" w:cs="Times New Roman"/>
                <w:sz w:val="20"/>
              </w:rPr>
              <w:t>Gobierno</w:t>
            </w:r>
          </w:p>
        </w:tc>
        <w:tc>
          <w:tcPr>
            <w:tcW w:w="1163" w:type="pct"/>
          </w:tcPr>
          <w:p w14:paraId="0E0F1A75" w14:textId="77777777" w:rsidR="0072209E" w:rsidRPr="00FA0569" w:rsidRDefault="00000000" w:rsidP="007078C6">
            <w:pPr>
              <w:jc w:val="center"/>
              <w:rPr>
                <w:rFonts w:ascii="Times New Roman" w:hAnsi="Times New Roman" w:cs="Times New Roman"/>
              </w:rPr>
            </w:pPr>
            <w:r w:rsidRPr="00FA0569">
              <w:rPr>
                <w:rFonts w:ascii="Times New Roman" w:hAnsi="Times New Roman" w:cs="Times New Roman"/>
                <w:sz w:val="20"/>
              </w:rPr>
              <w:t>24.421</w:t>
            </w:r>
          </w:p>
        </w:tc>
        <w:tc>
          <w:tcPr>
            <w:tcW w:w="1052" w:type="pct"/>
          </w:tcPr>
          <w:p w14:paraId="7476A296" w14:textId="77777777" w:rsidR="0072209E" w:rsidRPr="00FA0569" w:rsidRDefault="00000000" w:rsidP="007078C6">
            <w:pPr>
              <w:jc w:val="center"/>
              <w:rPr>
                <w:rFonts w:ascii="Times New Roman" w:hAnsi="Times New Roman" w:cs="Times New Roman"/>
              </w:rPr>
            </w:pPr>
            <w:r w:rsidRPr="00FA0569">
              <w:rPr>
                <w:rFonts w:ascii="Times New Roman" w:hAnsi="Times New Roman" w:cs="Times New Roman"/>
                <w:sz w:val="20"/>
              </w:rPr>
              <w:t>13 / 18</w:t>
            </w:r>
          </w:p>
        </w:tc>
        <w:tc>
          <w:tcPr>
            <w:tcW w:w="1929" w:type="pct"/>
          </w:tcPr>
          <w:p w14:paraId="06485B84" w14:textId="77777777" w:rsidR="0072209E" w:rsidRPr="00FA0569" w:rsidRDefault="00000000">
            <w:pPr>
              <w:rPr>
                <w:rFonts w:ascii="Times New Roman" w:hAnsi="Times New Roman" w:cs="Times New Roman"/>
              </w:rPr>
            </w:pPr>
            <w:r w:rsidRPr="00FA0569">
              <w:rPr>
                <w:rFonts w:ascii="Times New Roman" w:hAnsi="Times New Roman" w:cs="Times New Roman"/>
                <w:sz w:val="20"/>
              </w:rPr>
              <w:t>2007, 2008, 2009, 2013, 2014</w:t>
            </w:r>
          </w:p>
        </w:tc>
      </w:tr>
      <w:tr w:rsidR="0072209E" w:rsidRPr="00FA0569" w14:paraId="375AC17F" w14:textId="77777777" w:rsidTr="007078C6">
        <w:trPr>
          <w:jc w:val="center"/>
        </w:trPr>
        <w:tc>
          <w:tcPr>
            <w:tcW w:w="856" w:type="pct"/>
          </w:tcPr>
          <w:p w14:paraId="0901DA6D" w14:textId="77777777" w:rsidR="0072209E" w:rsidRPr="00FA0569" w:rsidRDefault="00000000">
            <w:pPr>
              <w:rPr>
                <w:rFonts w:ascii="Times New Roman" w:hAnsi="Times New Roman" w:cs="Times New Roman"/>
              </w:rPr>
            </w:pPr>
            <w:r w:rsidRPr="00FA0569">
              <w:rPr>
                <w:rFonts w:ascii="Times New Roman" w:hAnsi="Times New Roman" w:cs="Times New Roman"/>
                <w:sz w:val="20"/>
              </w:rPr>
              <w:t>Parlamento</w:t>
            </w:r>
          </w:p>
        </w:tc>
        <w:tc>
          <w:tcPr>
            <w:tcW w:w="1163" w:type="pct"/>
          </w:tcPr>
          <w:p w14:paraId="27254950" w14:textId="77777777" w:rsidR="0072209E" w:rsidRPr="00FA0569" w:rsidRDefault="00000000" w:rsidP="007078C6">
            <w:pPr>
              <w:jc w:val="center"/>
              <w:rPr>
                <w:rFonts w:ascii="Times New Roman" w:hAnsi="Times New Roman" w:cs="Times New Roman"/>
              </w:rPr>
            </w:pPr>
            <w:r w:rsidRPr="00FA0569">
              <w:rPr>
                <w:rFonts w:ascii="Times New Roman" w:hAnsi="Times New Roman" w:cs="Times New Roman"/>
                <w:sz w:val="20"/>
              </w:rPr>
              <w:t>28.292</w:t>
            </w:r>
          </w:p>
        </w:tc>
        <w:tc>
          <w:tcPr>
            <w:tcW w:w="1052" w:type="pct"/>
          </w:tcPr>
          <w:p w14:paraId="5C7A4100" w14:textId="77777777" w:rsidR="0072209E" w:rsidRPr="00FA0569" w:rsidRDefault="00000000" w:rsidP="007078C6">
            <w:pPr>
              <w:jc w:val="center"/>
              <w:rPr>
                <w:rFonts w:ascii="Times New Roman" w:hAnsi="Times New Roman" w:cs="Times New Roman"/>
              </w:rPr>
            </w:pPr>
            <w:r w:rsidRPr="00FA0569">
              <w:rPr>
                <w:rFonts w:ascii="Times New Roman" w:hAnsi="Times New Roman" w:cs="Times New Roman"/>
                <w:sz w:val="20"/>
              </w:rPr>
              <w:t>15 / 18</w:t>
            </w:r>
          </w:p>
        </w:tc>
        <w:tc>
          <w:tcPr>
            <w:tcW w:w="1929" w:type="pct"/>
          </w:tcPr>
          <w:p w14:paraId="591C8D04" w14:textId="77777777" w:rsidR="0072209E" w:rsidRPr="00FA0569" w:rsidRDefault="00000000">
            <w:pPr>
              <w:rPr>
                <w:rFonts w:ascii="Times New Roman" w:hAnsi="Times New Roman" w:cs="Times New Roman"/>
              </w:rPr>
            </w:pPr>
            <w:r w:rsidRPr="00FA0569">
              <w:rPr>
                <w:rFonts w:ascii="Times New Roman" w:hAnsi="Times New Roman" w:cs="Times New Roman"/>
                <w:sz w:val="20"/>
              </w:rPr>
              <w:t>2007, 2008, 2009</w:t>
            </w:r>
          </w:p>
        </w:tc>
      </w:tr>
      <w:tr w:rsidR="0072209E" w:rsidRPr="00FA0569" w14:paraId="61DA811C" w14:textId="77777777" w:rsidTr="007078C6">
        <w:trPr>
          <w:jc w:val="center"/>
        </w:trPr>
        <w:tc>
          <w:tcPr>
            <w:tcW w:w="856" w:type="pct"/>
          </w:tcPr>
          <w:p w14:paraId="2FBE0652" w14:textId="77777777" w:rsidR="0072209E" w:rsidRPr="00FA0569" w:rsidRDefault="00000000">
            <w:pPr>
              <w:rPr>
                <w:rFonts w:ascii="Times New Roman" w:hAnsi="Times New Roman" w:cs="Times New Roman"/>
              </w:rPr>
            </w:pPr>
            <w:r w:rsidRPr="00FA0569">
              <w:rPr>
                <w:rFonts w:ascii="Times New Roman" w:hAnsi="Times New Roman" w:cs="Times New Roman"/>
                <w:sz w:val="20"/>
              </w:rPr>
              <w:t>Partidos</w:t>
            </w:r>
          </w:p>
        </w:tc>
        <w:tc>
          <w:tcPr>
            <w:tcW w:w="1163" w:type="pct"/>
          </w:tcPr>
          <w:p w14:paraId="280541D2" w14:textId="77777777" w:rsidR="0072209E" w:rsidRPr="00FA0569" w:rsidRDefault="00000000" w:rsidP="007078C6">
            <w:pPr>
              <w:jc w:val="center"/>
              <w:rPr>
                <w:rFonts w:ascii="Times New Roman" w:hAnsi="Times New Roman" w:cs="Times New Roman"/>
              </w:rPr>
            </w:pPr>
            <w:r w:rsidRPr="00FA0569">
              <w:rPr>
                <w:rFonts w:ascii="Times New Roman" w:hAnsi="Times New Roman" w:cs="Times New Roman"/>
                <w:sz w:val="20"/>
              </w:rPr>
              <w:t>26.306</w:t>
            </w:r>
          </w:p>
        </w:tc>
        <w:tc>
          <w:tcPr>
            <w:tcW w:w="1052" w:type="pct"/>
          </w:tcPr>
          <w:p w14:paraId="6CBADA72" w14:textId="77777777" w:rsidR="0072209E" w:rsidRPr="00FA0569" w:rsidRDefault="00000000" w:rsidP="007078C6">
            <w:pPr>
              <w:jc w:val="center"/>
              <w:rPr>
                <w:rFonts w:ascii="Times New Roman" w:hAnsi="Times New Roman" w:cs="Times New Roman"/>
              </w:rPr>
            </w:pPr>
            <w:r w:rsidRPr="00FA0569">
              <w:rPr>
                <w:rFonts w:ascii="Times New Roman" w:hAnsi="Times New Roman" w:cs="Times New Roman"/>
                <w:sz w:val="20"/>
              </w:rPr>
              <w:t>14 / 18</w:t>
            </w:r>
          </w:p>
        </w:tc>
        <w:tc>
          <w:tcPr>
            <w:tcW w:w="1929" w:type="pct"/>
          </w:tcPr>
          <w:p w14:paraId="575B3A5A" w14:textId="77777777" w:rsidR="0072209E" w:rsidRPr="00FA0569" w:rsidRDefault="00000000">
            <w:pPr>
              <w:rPr>
                <w:rFonts w:ascii="Times New Roman" w:hAnsi="Times New Roman" w:cs="Times New Roman"/>
              </w:rPr>
            </w:pPr>
            <w:r w:rsidRPr="00FA0569">
              <w:rPr>
                <w:rFonts w:ascii="Times New Roman" w:hAnsi="Times New Roman" w:cs="Times New Roman"/>
                <w:sz w:val="20"/>
              </w:rPr>
              <w:t>2007, 2008, 2009, 2013</w:t>
            </w:r>
          </w:p>
        </w:tc>
      </w:tr>
      <w:tr w:rsidR="0072209E" w:rsidRPr="00FA0569" w14:paraId="72771125" w14:textId="77777777" w:rsidTr="007078C6">
        <w:trPr>
          <w:jc w:val="center"/>
        </w:trPr>
        <w:tc>
          <w:tcPr>
            <w:tcW w:w="856" w:type="pct"/>
          </w:tcPr>
          <w:p w14:paraId="1697F706" w14:textId="77777777" w:rsidR="0072209E" w:rsidRPr="00FA0569" w:rsidRDefault="00000000">
            <w:pPr>
              <w:rPr>
                <w:rFonts w:ascii="Times New Roman" w:hAnsi="Times New Roman" w:cs="Times New Roman"/>
              </w:rPr>
            </w:pPr>
            <w:r w:rsidRPr="00FA0569">
              <w:rPr>
                <w:rFonts w:ascii="Times New Roman" w:hAnsi="Times New Roman" w:cs="Times New Roman"/>
                <w:sz w:val="20"/>
              </w:rPr>
              <w:t>FF.AA.</w:t>
            </w:r>
          </w:p>
        </w:tc>
        <w:tc>
          <w:tcPr>
            <w:tcW w:w="1163" w:type="pct"/>
          </w:tcPr>
          <w:p w14:paraId="5EEC7194" w14:textId="77777777" w:rsidR="0072209E" w:rsidRPr="00FA0569" w:rsidRDefault="00000000" w:rsidP="007078C6">
            <w:pPr>
              <w:jc w:val="center"/>
              <w:rPr>
                <w:rFonts w:ascii="Times New Roman" w:hAnsi="Times New Roman" w:cs="Times New Roman"/>
              </w:rPr>
            </w:pPr>
            <w:r w:rsidRPr="00FA0569">
              <w:rPr>
                <w:rFonts w:ascii="Times New Roman" w:hAnsi="Times New Roman" w:cs="Times New Roman"/>
                <w:sz w:val="20"/>
              </w:rPr>
              <w:t>26.354</w:t>
            </w:r>
          </w:p>
        </w:tc>
        <w:tc>
          <w:tcPr>
            <w:tcW w:w="1052" w:type="pct"/>
          </w:tcPr>
          <w:p w14:paraId="2FCE10C9" w14:textId="77777777" w:rsidR="0072209E" w:rsidRPr="00FA0569" w:rsidRDefault="00000000" w:rsidP="007078C6">
            <w:pPr>
              <w:jc w:val="center"/>
              <w:rPr>
                <w:rFonts w:ascii="Times New Roman" w:hAnsi="Times New Roman" w:cs="Times New Roman"/>
              </w:rPr>
            </w:pPr>
            <w:r w:rsidRPr="00FA0569">
              <w:rPr>
                <w:rFonts w:ascii="Times New Roman" w:hAnsi="Times New Roman" w:cs="Times New Roman"/>
                <w:sz w:val="20"/>
              </w:rPr>
              <w:t>14 / 18</w:t>
            </w:r>
          </w:p>
        </w:tc>
        <w:tc>
          <w:tcPr>
            <w:tcW w:w="1929" w:type="pct"/>
          </w:tcPr>
          <w:p w14:paraId="0F66B694" w14:textId="77777777" w:rsidR="0072209E" w:rsidRPr="00FA0569" w:rsidRDefault="00000000">
            <w:pPr>
              <w:rPr>
                <w:rFonts w:ascii="Times New Roman" w:hAnsi="Times New Roman" w:cs="Times New Roman"/>
              </w:rPr>
            </w:pPr>
            <w:r w:rsidRPr="00FA0569">
              <w:rPr>
                <w:rFonts w:ascii="Times New Roman" w:hAnsi="Times New Roman" w:cs="Times New Roman"/>
                <w:sz w:val="20"/>
              </w:rPr>
              <w:t>2007, 2008, 2009, 2013</w:t>
            </w:r>
          </w:p>
        </w:tc>
      </w:tr>
      <w:tr w:rsidR="0072209E" w:rsidRPr="00FA0569" w14:paraId="0DE09040" w14:textId="77777777" w:rsidTr="007078C6">
        <w:trPr>
          <w:jc w:val="center"/>
        </w:trPr>
        <w:tc>
          <w:tcPr>
            <w:tcW w:w="856" w:type="pct"/>
          </w:tcPr>
          <w:p w14:paraId="5CD9C049" w14:textId="77777777" w:rsidR="0072209E" w:rsidRPr="00FA0569" w:rsidRDefault="00000000">
            <w:pPr>
              <w:rPr>
                <w:rFonts w:ascii="Times New Roman" w:hAnsi="Times New Roman" w:cs="Times New Roman"/>
              </w:rPr>
            </w:pPr>
            <w:r w:rsidRPr="00FA0569">
              <w:rPr>
                <w:rFonts w:ascii="Times New Roman" w:hAnsi="Times New Roman" w:cs="Times New Roman"/>
                <w:sz w:val="20"/>
              </w:rPr>
              <w:t>Iglesia</w:t>
            </w:r>
          </w:p>
        </w:tc>
        <w:tc>
          <w:tcPr>
            <w:tcW w:w="1163" w:type="pct"/>
          </w:tcPr>
          <w:p w14:paraId="28B29680" w14:textId="77777777" w:rsidR="0072209E" w:rsidRPr="00FA0569" w:rsidRDefault="00000000" w:rsidP="007078C6">
            <w:pPr>
              <w:jc w:val="center"/>
              <w:rPr>
                <w:rFonts w:ascii="Times New Roman" w:hAnsi="Times New Roman" w:cs="Times New Roman"/>
              </w:rPr>
            </w:pPr>
            <w:r w:rsidRPr="00FA0569">
              <w:rPr>
                <w:rFonts w:ascii="Times New Roman" w:hAnsi="Times New Roman" w:cs="Times New Roman"/>
                <w:sz w:val="20"/>
              </w:rPr>
              <w:t>28.375</w:t>
            </w:r>
          </w:p>
        </w:tc>
        <w:tc>
          <w:tcPr>
            <w:tcW w:w="1052" w:type="pct"/>
          </w:tcPr>
          <w:p w14:paraId="66446824" w14:textId="77777777" w:rsidR="0072209E" w:rsidRPr="00FA0569" w:rsidRDefault="00000000" w:rsidP="007078C6">
            <w:pPr>
              <w:jc w:val="center"/>
              <w:rPr>
                <w:rFonts w:ascii="Times New Roman" w:hAnsi="Times New Roman" w:cs="Times New Roman"/>
              </w:rPr>
            </w:pPr>
            <w:r w:rsidRPr="00FA0569">
              <w:rPr>
                <w:rFonts w:ascii="Times New Roman" w:hAnsi="Times New Roman" w:cs="Times New Roman"/>
                <w:sz w:val="20"/>
              </w:rPr>
              <w:t>15 / 18</w:t>
            </w:r>
          </w:p>
        </w:tc>
        <w:tc>
          <w:tcPr>
            <w:tcW w:w="1929" w:type="pct"/>
          </w:tcPr>
          <w:p w14:paraId="695C1D65" w14:textId="77777777" w:rsidR="0072209E" w:rsidRPr="00FA0569" w:rsidRDefault="00000000">
            <w:pPr>
              <w:rPr>
                <w:rFonts w:ascii="Times New Roman" w:hAnsi="Times New Roman" w:cs="Times New Roman"/>
              </w:rPr>
            </w:pPr>
            <w:r w:rsidRPr="00FA0569">
              <w:rPr>
                <w:rFonts w:ascii="Times New Roman" w:hAnsi="Times New Roman" w:cs="Times New Roman"/>
                <w:sz w:val="20"/>
              </w:rPr>
              <w:t>2007, 2008, 2009</w:t>
            </w:r>
          </w:p>
        </w:tc>
      </w:tr>
    </w:tbl>
    <w:p w14:paraId="7B0A9195" w14:textId="20A09100" w:rsidR="0072209E" w:rsidRPr="00FA0569" w:rsidRDefault="007078C6" w:rsidP="0060648D">
      <w:pPr>
        <w:rPr>
          <w:rFonts w:ascii="Times New Roman" w:hAnsi="Times New Roman" w:cs="Times New Roman"/>
          <w:sz w:val="16"/>
          <w:szCs w:val="16"/>
          <w:lang w:val="es-CL"/>
        </w:rPr>
      </w:pPr>
      <w:r w:rsidRPr="00FA0569">
        <w:rPr>
          <w:rFonts w:ascii="Times New Roman" w:hAnsi="Times New Roman" w:cs="Times New Roman"/>
          <w:sz w:val="16"/>
          <w:szCs w:val="16"/>
          <w:lang w:val="es-CL"/>
        </w:rPr>
        <w:t>Fuente: Elaboración propia a partir de los conjuntos de datos de la Encuesta Bicentenario UC. Disponibles en</w:t>
      </w:r>
      <w:r w:rsidR="0031052F">
        <w:rPr>
          <w:rFonts w:ascii="Times New Roman" w:hAnsi="Times New Roman" w:cs="Times New Roman"/>
          <w:sz w:val="16"/>
          <w:szCs w:val="16"/>
          <w:lang w:val="es-CL"/>
        </w:rPr>
        <w:t xml:space="preserve"> el siguiente </w:t>
      </w:r>
      <w:hyperlink r:id="rId12" w:history="1">
        <w:r w:rsidR="0031052F" w:rsidRPr="0031052F">
          <w:rPr>
            <w:rStyle w:val="Hipervnculo"/>
            <w:rFonts w:ascii="Times New Roman" w:hAnsi="Times New Roman" w:cs="Times New Roman"/>
            <w:sz w:val="16"/>
            <w:szCs w:val="16"/>
            <w:lang w:val="es-CL"/>
          </w:rPr>
          <w:t>link</w:t>
        </w:r>
      </w:hyperlink>
      <w:r w:rsidR="0031052F">
        <w:rPr>
          <w:rFonts w:ascii="Times New Roman" w:hAnsi="Times New Roman" w:cs="Times New Roman"/>
          <w:sz w:val="16"/>
          <w:szCs w:val="16"/>
          <w:lang w:val="es-CL"/>
        </w:rPr>
        <w:t xml:space="preserve"> </w:t>
      </w:r>
    </w:p>
    <w:p w14:paraId="77F8E5CD" w14:textId="4364694E" w:rsidR="00F62EE8" w:rsidRPr="00FA0569" w:rsidRDefault="00F62EE8">
      <w:pPr>
        <w:spacing w:after="160"/>
        <w:rPr>
          <w:rFonts w:ascii="Times New Roman" w:hAnsi="Times New Roman" w:cs="Times New Roman"/>
          <w:lang w:val="es-CL"/>
        </w:rPr>
      </w:pPr>
      <w:r w:rsidRPr="00FA0569">
        <w:rPr>
          <w:rFonts w:ascii="Times New Roman" w:hAnsi="Times New Roman" w:cs="Times New Roman"/>
          <w:lang w:val="es-CL"/>
        </w:rPr>
        <w:t xml:space="preserve">Abordar efectos APC </w:t>
      </w:r>
    </w:p>
    <w:p w14:paraId="76FB03DE" w14:textId="77777777" w:rsidR="00F62EE8" w:rsidRPr="00FA0569" w:rsidRDefault="00F62EE8" w:rsidP="00EB7187">
      <w:pPr>
        <w:spacing w:after="160"/>
        <w:jc w:val="both"/>
        <w:rPr>
          <w:rFonts w:ascii="Times New Roman" w:hAnsi="Times New Roman" w:cs="Times New Roman"/>
          <w:lang w:val="es-CL"/>
        </w:rPr>
      </w:pPr>
    </w:p>
    <w:p w14:paraId="690F5B11" w14:textId="77777777" w:rsidR="00EB7187" w:rsidRPr="00FA0569" w:rsidRDefault="00EB7187" w:rsidP="00EB7187">
      <w:pPr>
        <w:spacing w:after="160"/>
        <w:jc w:val="both"/>
        <w:rPr>
          <w:rFonts w:ascii="Times New Roman" w:hAnsi="Times New Roman" w:cs="Times New Roman"/>
          <w:lang w:val="es-CL"/>
        </w:rPr>
      </w:pPr>
      <w:r w:rsidRPr="00FA0569">
        <w:rPr>
          <w:rFonts w:ascii="Times New Roman" w:hAnsi="Times New Roman" w:cs="Times New Roman"/>
          <w:lang w:val="es-CL"/>
        </w:rPr>
        <w:lastRenderedPageBreak/>
        <w:t>Lo complejo de abordar el análisis a APC es</w:t>
      </w:r>
      <w:r w:rsidR="00F62EE8" w:rsidRPr="00FA0569">
        <w:rPr>
          <w:rFonts w:ascii="Times New Roman" w:hAnsi="Times New Roman" w:cs="Times New Roman"/>
          <w:lang w:val="es-CL"/>
        </w:rPr>
        <w:t xml:space="preserve"> que </w:t>
      </w:r>
    </w:p>
    <w:p w14:paraId="75FCDAC5" w14:textId="5657B561" w:rsidR="00754593" w:rsidRDefault="00754593" w:rsidP="00EB7187">
      <w:pPr>
        <w:spacing w:after="160"/>
        <w:jc w:val="both"/>
        <w:rPr>
          <w:rFonts w:ascii="Times New Roman" w:hAnsi="Times New Roman" w:cs="Times New Roman"/>
          <w:lang w:val="es-CL"/>
        </w:rPr>
      </w:pPr>
      <w:r w:rsidRPr="00FA0569">
        <w:rPr>
          <w:rFonts w:ascii="Times New Roman" w:hAnsi="Times New Roman" w:cs="Times New Roman"/>
          <w:lang w:val="es-CL"/>
        </w:rPr>
        <w:t>Como se revisó, el análisis generacional es particularmente complejo de operacionalizar. Como regla general, una generación no es simplemente "la gente que nació en tal año", sino un grupo que comparte una posición histórica por haber vivido los mismos eventos formativos durante su juventud (Mannheim, 1928, 1952). En este sentido, conviene distinguir entre cohortes, como categoría demográfica definida por el año de nacimiento, y generaciones, que son cohortes específicas que además experimentaron colectivamente esos eventos form</w:t>
      </w:r>
      <w:commentRangeStart w:id="1"/>
      <w:r w:rsidRPr="00FA0569">
        <w:rPr>
          <w:rFonts w:ascii="Times New Roman" w:hAnsi="Times New Roman" w:cs="Times New Roman"/>
          <w:lang w:val="es-CL"/>
        </w:rPr>
        <w:t xml:space="preserve">ativos. </w:t>
      </w:r>
      <w:commentRangeEnd w:id="1"/>
      <w:r w:rsidRPr="00FA0569">
        <w:rPr>
          <w:rStyle w:val="Refdecomentario"/>
          <w:rFonts w:ascii="Times New Roman" w:hAnsi="Times New Roman" w:cs="Times New Roman"/>
          <w:sz w:val="22"/>
          <w:szCs w:val="22"/>
          <w:lang w:val="es-CL"/>
        </w:rPr>
        <w:commentReference w:id="1"/>
      </w:r>
      <w:r w:rsidR="00BE2D50" w:rsidRPr="00FA0569">
        <w:rPr>
          <w:rFonts w:ascii="Times New Roman" w:hAnsi="Times New Roman" w:cs="Times New Roman"/>
          <w:lang w:val="es-CL"/>
        </w:rPr>
        <w:t xml:space="preserve">Ryder (1965) traduce esa idea a un objeto medible: distingue </w:t>
      </w:r>
      <w:r w:rsidR="00BE2D50" w:rsidRPr="00FA0569">
        <w:rPr>
          <w:rFonts w:ascii="Times New Roman" w:hAnsi="Times New Roman" w:cs="Times New Roman"/>
          <w:i/>
          <w:iCs/>
          <w:lang w:val="es-CL"/>
        </w:rPr>
        <w:t>cohorte</w:t>
      </w:r>
      <w:r w:rsidR="00BE2D50" w:rsidRPr="00FA0569">
        <w:rPr>
          <w:rFonts w:ascii="Times New Roman" w:hAnsi="Times New Roman" w:cs="Times New Roman"/>
          <w:lang w:val="es-CL"/>
        </w:rPr>
        <w:t xml:space="preserve"> (categoría demográfica) de </w:t>
      </w:r>
      <w:r w:rsidR="00BE2D50" w:rsidRPr="00FA0569">
        <w:rPr>
          <w:rFonts w:ascii="Times New Roman" w:hAnsi="Times New Roman" w:cs="Times New Roman"/>
          <w:i/>
          <w:iCs/>
          <w:lang w:val="es-CL"/>
        </w:rPr>
        <w:t>generación</w:t>
      </w:r>
      <w:r w:rsidR="00BE2D50" w:rsidRPr="00FA0569">
        <w:rPr>
          <w:rFonts w:ascii="Times New Roman" w:hAnsi="Times New Roman" w:cs="Times New Roman"/>
          <w:lang w:val="es-CL"/>
        </w:rPr>
        <w:t xml:space="preserve"> (cohorte que además desarrolló una conciencia compartida). Krosnick y Alwin (1989) le ponen el mecanismo psicológico</w:t>
      </w:r>
      <w:r w:rsidR="00BE2D50" w:rsidRPr="00FA0569">
        <w:rPr>
          <w:rFonts w:ascii="Times New Roman" w:hAnsi="Times New Roman" w:cs="Times New Roman"/>
          <w:lang w:val="es-CL"/>
        </w:rPr>
        <w:t xml:space="preserve">, “la </w:t>
      </w:r>
      <w:r w:rsidR="00BE2D50" w:rsidRPr="00FA0569">
        <w:rPr>
          <w:rFonts w:ascii="Times New Roman" w:hAnsi="Times New Roman" w:cs="Times New Roman"/>
          <w:lang w:val="es-CL"/>
        </w:rPr>
        <w:t>hipótesis de los años impresionables"</w:t>
      </w:r>
      <w:r w:rsidR="00BE2D50" w:rsidRPr="00FA0569">
        <w:rPr>
          <w:rFonts w:ascii="Times New Roman" w:hAnsi="Times New Roman" w:cs="Times New Roman"/>
          <w:lang w:val="es-CL"/>
        </w:rPr>
        <w:t>, donde</w:t>
      </w:r>
      <w:r w:rsidR="00BE2D50" w:rsidRPr="00FA0569">
        <w:rPr>
          <w:rFonts w:ascii="Times New Roman" w:hAnsi="Times New Roman" w:cs="Times New Roman"/>
          <w:lang w:val="es-CL"/>
        </w:rPr>
        <w:t xml:space="preserve"> las actitudes políticas se forman de manera desproporcionada entre la adolescencia y los primeros años de adultez.</w:t>
      </w:r>
    </w:p>
    <w:p w14:paraId="7F014902" w14:textId="4F6261C6" w:rsidR="00321B76" w:rsidRPr="00FA0569" w:rsidRDefault="00321B76" w:rsidP="00EB7187">
      <w:pPr>
        <w:spacing w:after="160"/>
        <w:jc w:val="both"/>
        <w:rPr>
          <w:rFonts w:ascii="Times New Roman" w:hAnsi="Times New Roman" w:cs="Times New Roman"/>
          <w:lang w:val="es-CL"/>
        </w:rPr>
      </w:pPr>
      <w:r w:rsidRPr="00763122">
        <w:rPr>
          <w:rFonts w:ascii="Times New Roman" w:hAnsi="Times New Roman" w:cs="Times New Roman"/>
          <w:lang w:val="es-CL"/>
        </w:rPr>
        <w:t>Dada la complejidad de zanjar periodizaciones concretas para chile.</w:t>
      </w:r>
      <w:r w:rsidRPr="00763122">
        <w:rPr>
          <w:rFonts w:ascii="Times New Roman" w:hAnsi="Times New Roman" w:cs="Times New Roman"/>
          <w:lang w:val="es-CL"/>
        </w:rPr>
        <w:t xml:space="preserve"> En vez de imponer un esquema y reportar resultados solo bajo esa </w:t>
      </w:r>
      <w:r w:rsidRPr="00763122">
        <w:rPr>
          <w:rFonts w:ascii="Times New Roman" w:hAnsi="Times New Roman" w:cs="Times New Roman"/>
          <w:lang w:val="es-CL"/>
        </w:rPr>
        <w:t>elección</w:t>
      </w:r>
      <w:r w:rsidRPr="00763122">
        <w:rPr>
          <w:rFonts w:ascii="Times New Roman" w:hAnsi="Times New Roman" w:cs="Times New Roman"/>
          <w:lang w:val="es-CL"/>
        </w:rPr>
        <w:t>, el diseño somete tres esquemas de cohorte a la misma prueba empírica y deja que sobreviva el que tenga evidencia</w:t>
      </w:r>
      <w:r w:rsidR="00364BC6" w:rsidRPr="00763122">
        <w:rPr>
          <w:rFonts w:ascii="Times New Roman" w:hAnsi="Times New Roman" w:cs="Times New Roman"/>
          <w:lang w:val="es-CL"/>
        </w:rPr>
        <w:t xml:space="preserve">. Estos responden a tres operacionalizaciones presentes en el análisis generacional dentro de la literatura. El primer esquema es la taxonomía generacional importada estándar </w:t>
      </w:r>
      <w:r w:rsidR="00364BC6" w:rsidRPr="00763122">
        <w:rPr>
          <w:rFonts w:ascii="Times New Roman" w:hAnsi="Times New Roman" w:cs="Times New Roman"/>
          <w:lang w:val="es-CL"/>
        </w:rPr>
        <w:t>(Silenciosa 1928-45, Boomer 1946-64, X 1965-80, Millennial 1981-96</w:t>
      </w:r>
      <w:r w:rsidR="00364BC6" w:rsidRPr="00763122">
        <w:rPr>
          <w:rFonts w:ascii="Times New Roman" w:hAnsi="Times New Roman" w:cs="Times New Roman"/>
          <w:lang w:val="es-CL"/>
        </w:rPr>
        <w:t xml:space="preserve"> y</w:t>
      </w:r>
      <w:r w:rsidR="00364BC6" w:rsidRPr="00763122">
        <w:rPr>
          <w:rFonts w:ascii="Times New Roman" w:hAnsi="Times New Roman" w:cs="Times New Roman"/>
          <w:lang w:val="es-CL"/>
        </w:rPr>
        <w:t xml:space="preserve"> Z 1997</w:t>
      </w:r>
      <w:r w:rsidR="00364BC6" w:rsidRPr="00763122">
        <w:rPr>
          <w:rFonts w:ascii="Times New Roman" w:hAnsi="Times New Roman" w:cs="Times New Roman"/>
          <w:lang w:val="es-CL"/>
        </w:rPr>
        <w:t>+</w:t>
      </w:r>
      <w:r w:rsidR="00364BC6" w:rsidRPr="00763122">
        <w:rPr>
          <w:rFonts w:ascii="Times New Roman" w:hAnsi="Times New Roman" w:cs="Times New Roman"/>
          <w:lang w:val="es-CL"/>
        </w:rPr>
        <w:t>)</w:t>
      </w:r>
      <w:r w:rsidR="00364BC6" w:rsidRPr="00763122">
        <w:rPr>
          <w:rFonts w:ascii="Times New Roman" w:hAnsi="Times New Roman" w:cs="Times New Roman"/>
          <w:lang w:val="es-CL"/>
        </w:rPr>
        <w:t xml:space="preserve"> utilizadas en estudios de occidente anglosajón y también en análisis e imaginarios nacionales (Didier, 20 ; </w:t>
      </w:r>
      <w:r w:rsidRPr="00763122">
        <w:rPr>
          <w:rFonts w:ascii="Times New Roman" w:hAnsi="Times New Roman" w:cs="Times New Roman"/>
          <w:lang w:val="es-CL"/>
        </w:rPr>
        <w:t xml:space="preserve"> del Solar &amp; Fernández</w:t>
      </w:r>
      <w:r w:rsidR="00364BC6" w:rsidRPr="00763122">
        <w:rPr>
          <w:rFonts w:ascii="Times New Roman" w:hAnsi="Times New Roman" w:cs="Times New Roman"/>
          <w:lang w:val="es-CL"/>
        </w:rPr>
        <w:t>, 2024). El segundo esquema es la taxonomía local, la cual, en la misma lógica que la primera, etiqueta grupos de cohortes en rangos que responden al propio contextos</w:t>
      </w:r>
      <w:r w:rsidR="00DB753A" w:rsidRPr="00763122">
        <w:rPr>
          <w:rFonts w:ascii="Times New Roman" w:hAnsi="Times New Roman" w:cs="Times New Roman"/>
          <w:lang w:val="es-CL"/>
        </w:rPr>
        <w:t xml:space="preserve">. El tercer y último esquema es el de corte único, el cual consiste en </w:t>
      </w:r>
      <w:r w:rsidR="00DB753A" w:rsidRPr="00763122">
        <w:rPr>
          <w:rFonts w:ascii="Times New Roman" w:hAnsi="Times New Roman" w:cs="Times New Roman"/>
          <w:lang w:val="es-CL"/>
        </w:rPr>
        <w:t>trazar un único quiebre duro en la edad de socialización política de cada persona respecto a un evento histórico específico, y comparar solo dos (Mannheim, 1928</w:t>
      </w:r>
      <w:r w:rsidR="00DB753A" w:rsidRPr="00763122">
        <w:rPr>
          <w:rFonts w:ascii="Times New Roman" w:hAnsi="Times New Roman" w:cs="Times New Roman"/>
          <w:lang w:val="es-CL"/>
        </w:rPr>
        <w:t xml:space="preserve">, </w:t>
      </w:r>
      <w:r w:rsidR="00DB753A" w:rsidRPr="00763122">
        <w:rPr>
          <w:rFonts w:ascii="Times New Roman" w:hAnsi="Times New Roman" w:cs="Times New Roman"/>
          <w:lang w:val="es-CL"/>
        </w:rPr>
        <w:t>1952; Krosnick y Alwin, 1989</w:t>
      </w:r>
      <w:r w:rsidR="00763122" w:rsidRPr="00763122">
        <w:rPr>
          <w:rFonts w:ascii="Times New Roman" w:hAnsi="Times New Roman" w:cs="Times New Roman"/>
          <w:lang w:val="es-CL"/>
        </w:rPr>
        <w:t xml:space="preserve">; Balcells </w:t>
      </w:r>
      <w:r w:rsidR="00763122" w:rsidRPr="00763122">
        <w:rPr>
          <w:rFonts w:ascii="Times New Roman" w:hAnsi="Times New Roman" w:cs="Times New Roman"/>
          <w:lang w:val="es-CL"/>
        </w:rPr>
        <w:t>y</w:t>
      </w:r>
      <w:r w:rsidR="00763122" w:rsidRPr="00763122">
        <w:rPr>
          <w:rFonts w:ascii="Times New Roman" w:hAnsi="Times New Roman" w:cs="Times New Roman"/>
          <w:lang w:val="es-CL"/>
        </w:rPr>
        <w:t xml:space="preserve"> Villamil</w:t>
      </w:r>
      <w:r w:rsidR="00763122" w:rsidRPr="00763122">
        <w:rPr>
          <w:rFonts w:ascii="Times New Roman" w:hAnsi="Times New Roman" w:cs="Times New Roman"/>
          <w:lang w:val="es-CL"/>
        </w:rPr>
        <w:t xml:space="preserve">, </w:t>
      </w:r>
      <w:r w:rsidR="00763122" w:rsidRPr="00763122">
        <w:rPr>
          <w:rFonts w:ascii="Times New Roman" w:hAnsi="Times New Roman" w:cs="Times New Roman"/>
          <w:lang w:val="es-CL"/>
        </w:rPr>
        <w:t>2026</w:t>
      </w:r>
      <w:r w:rsidR="00DB753A" w:rsidRPr="00763122">
        <w:rPr>
          <w:rFonts w:ascii="Times New Roman" w:hAnsi="Times New Roman" w:cs="Times New Roman"/>
          <w:lang w:val="es-CL"/>
        </w:rPr>
        <w:t>): si las actitudes políticas se fijan de forma desproporcionada durante la adolescencia y los primeros años de adultez, entonces un evento político mayor debería dejar una marca generacional nítida exactamente en la frontera de esa ventana etaria, y no en cualquier otro punto arbitrario de la distribución de edades.</w:t>
      </w:r>
      <w:r w:rsidR="00763122" w:rsidRPr="00763122">
        <w:rPr>
          <w:rFonts w:ascii="Times New Roman" w:hAnsi="Times New Roman" w:cs="Times New Roman"/>
          <w:lang w:val="es-CL"/>
        </w:rPr>
        <w:t xml:space="preserve"> </w:t>
      </w:r>
    </w:p>
    <w:p w14:paraId="1CAE8A2F" w14:textId="5B5C9290" w:rsidR="00EB7187" w:rsidRPr="00FA0569" w:rsidRDefault="00364BC6" w:rsidP="00EB7187">
      <w:pPr>
        <w:spacing w:after="160"/>
        <w:jc w:val="both"/>
        <w:rPr>
          <w:rFonts w:ascii="Times New Roman" w:hAnsi="Times New Roman" w:cs="Times New Roman"/>
          <w:lang w:val="es-CL"/>
        </w:rPr>
      </w:pPr>
      <w:r>
        <w:rPr>
          <w:rFonts w:ascii="Times New Roman" w:hAnsi="Times New Roman" w:cs="Times New Roman"/>
          <w:lang w:val="es-CL"/>
        </w:rPr>
        <w:t>Esta</w:t>
      </w:r>
      <w:r w:rsidR="00754593" w:rsidRPr="00FA0569">
        <w:rPr>
          <w:rFonts w:ascii="Times New Roman" w:hAnsi="Times New Roman" w:cs="Times New Roman"/>
          <w:lang w:val="es-CL"/>
        </w:rPr>
        <w:t xml:space="preserve"> distinción entre cohortes y generaciones es</w:t>
      </w:r>
      <w:r w:rsidR="00754593" w:rsidRPr="00FA0569">
        <w:rPr>
          <w:rFonts w:ascii="Times New Roman" w:hAnsi="Times New Roman" w:cs="Times New Roman"/>
          <w:lang w:val="es-CL"/>
        </w:rPr>
        <w:t xml:space="preserve"> imperativa tanto para </w:t>
      </w:r>
      <w:r w:rsidR="00754593" w:rsidRPr="00FA0569">
        <w:rPr>
          <w:rFonts w:ascii="Times New Roman" w:hAnsi="Times New Roman" w:cs="Times New Roman"/>
          <w:lang w:val="es-CL"/>
        </w:rPr>
        <w:t>la interpretación del fenómeno</w:t>
      </w:r>
      <w:r w:rsidR="00754593" w:rsidRPr="00FA0569">
        <w:rPr>
          <w:rFonts w:ascii="Times New Roman" w:hAnsi="Times New Roman" w:cs="Times New Roman"/>
          <w:lang w:val="es-CL"/>
        </w:rPr>
        <w:t xml:space="preserve"> como para </w:t>
      </w:r>
      <w:r w:rsidR="00754593" w:rsidRPr="00FA0569">
        <w:rPr>
          <w:rFonts w:ascii="Times New Roman" w:hAnsi="Times New Roman" w:cs="Times New Roman"/>
          <w:lang w:val="es-CL"/>
        </w:rPr>
        <w:t>las decisiones metodológicas</w:t>
      </w:r>
      <w:r w:rsidR="00754593" w:rsidRPr="00FA0569">
        <w:rPr>
          <w:rFonts w:ascii="Times New Roman" w:hAnsi="Times New Roman" w:cs="Times New Roman"/>
          <w:lang w:val="es-CL"/>
        </w:rPr>
        <w:t>, ya que un cambio observado en una actitud a través del tiempo puede deberse a tres mecanismos distintos, cuya confusión lleva a conclusiones opuestas</w:t>
      </w:r>
      <w:r w:rsidR="00754593" w:rsidRPr="00FA0569">
        <w:rPr>
          <w:rFonts w:ascii="Times New Roman" w:hAnsi="Times New Roman" w:cs="Times New Roman"/>
          <w:lang w:val="es-CL"/>
        </w:rPr>
        <w:t>. U</w:t>
      </w:r>
      <w:r w:rsidR="00754593" w:rsidRPr="00FA0569">
        <w:rPr>
          <w:rFonts w:ascii="Times New Roman" w:hAnsi="Times New Roman" w:cs="Times New Roman"/>
          <w:lang w:val="es-CL"/>
        </w:rPr>
        <w:t>n efecto</w:t>
      </w:r>
      <w:r w:rsidR="00754593" w:rsidRPr="00FA0569">
        <w:rPr>
          <w:rStyle w:val="Refdenotaalpie"/>
          <w:rFonts w:ascii="Times New Roman" w:hAnsi="Times New Roman" w:cs="Times New Roman"/>
          <w:lang w:val="es-CL"/>
        </w:rPr>
        <w:footnoteReference w:id="1"/>
      </w:r>
      <w:r w:rsidR="00754593" w:rsidRPr="00FA0569">
        <w:rPr>
          <w:rFonts w:ascii="Times New Roman" w:hAnsi="Times New Roman" w:cs="Times New Roman"/>
          <w:lang w:val="es-CL"/>
        </w:rPr>
        <w:t xml:space="preserve"> de edad, propio del ciclo vital; un efecto de período, un golpe histórico que afecta a toda la población por igual en un momento dado; y un efecto de cohorte (no necesariamente generacional), una marca que queda fija en quienes nacieron dentro de cierta ventana de años.</w:t>
      </w:r>
    </w:p>
    <w:p w14:paraId="73661EF6" w14:textId="1C1C82A2" w:rsidR="00BE2D50" w:rsidRPr="00FA0569" w:rsidRDefault="00BE2D50" w:rsidP="00BE2D50">
      <w:pPr>
        <w:spacing w:after="160"/>
        <w:jc w:val="both"/>
        <w:rPr>
          <w:rFonts w:ascii="Times New Roman" w:hAnsi="Times New Roman" w:cs="Times New Roman"/>
          <w:lang w:val="es-CL"/>
        </w:rPr>
      </w:pPr>
      <w:r w:rsidRPr="00FA0569">
        <w:rPr>
          <w:rFonts w:ascii="Times New Roman" w:hAnsi="Times New Roman" w:cs="Times New Roman"/>
          <w:lang w:val="es-CL"/>
        </w:rPr>
        <w:t>El problema de identificación está precisamente  en la estructura de los datos. En un ejemplo práctico, s</w:t>
      </w:r>
      <w:r w:rsidRPr="00FA0569">
        <w:rPr>
          <w:rFonts w:ascii="Times New Roman" w:hAnsi="Times New Roman" w:cs="Times New Roman"/>
          <w:lang w:val="es-CL"/>
        </w:rPr>
        <w:t xml:space="preserve">i alguien nació en 1970 y la encuesta es de 2012, su edad es 42 y su cohorte es 1970. Pero si además </w:t>
      </w:r>
      <w:r w:rsidRPr="00FA0569">
        <w:rPr>
          <w:rFonts w:ascii="Times New Roman" w:hAnsi="Times New Roman" w:cs="Times New Roman"/>
          <w:lang w:val="es-CL"/>
        </w:rPr>
        <w:t>se sabe</w:t>
      </w:r>
      <w:r w:rsidRPr="00FA0569">
        <w:rPr>
          <w:rFonts w:ascii="Times New Roman" w:hAnsi="Times New Roman" w:cs="Times New Roman"/>
          <w:lang w:val="es-CL"/>
        </w:rPr>
        <w:t xml:space="preserve"> que tiene 42 años y la encuesta es de 2012, ya sé que nació en 1970</w:t>
      </w:r>
      <w:r w:rsidRPr="00FA0569">
        <w:rPr>
          <w:rFonts w:ascii="Times New Roman" w:hAnsi="Times New Roman" w:cs="Times New Roman"/>
          <w:lang w:val="es-CL"/>
        </w:rPr>
        <w:t>,</w:t>
      </w:r>
      <w:r w:rsidRPr="00FA0569">
        <w:rPr>
          <w:rFonts w:ascii="Times New Roman" w:hAnsi="Times New Roman" w:cs="Times New Roman"/>
          <w:lang w:val="es-CL"/>
        </w:rPr>
        <w:t xml:space="preserve"> no hay ninguna otra posibilidad. </w:t>
      </w:r>
      <w:r w:rsidR="00BE74CE">
        <w:rPr>
          <w:rFonts w:ascii="Times New Roman" w:hAnsi="Times New Roman" w:cs="Times New Roman"/>
          <w:lang w:val="es-CL"/>
        </w:rPr>
        <w:t>Su</w:t>
      </w:r>
      <w:r w:rsidRPr="00FA0569">
        <w:rPr>
          <w:rFonts w:ascii="Times New Roman" w:hAnsi="Times New Roman" w:cs="Times New Roman"/>
          <w:lang w:val="es-CL"/>
        </w:rPr>
        <w:t xml:space="preserve"> cohorte </w:t>
      </w:r>
      <w:r w:rsidR="00BE74CE">
        <w:rPr>
          <w:rFonts w:ascii="Times New Roman" w:hAnsi="Times New Roman" w:cs="Times New Roman"/>
          <w:lang w:val="es-CL"/>
        </w:rPr>
        <w:t>es el</w:t>
      </w:r>
      <w:r w:rsidRPr="00FA0569">
        <w:rPr>
          <w:rFonts w:ascii="Times New Roman" w:hAnsi="Times New Roman" w:cs="Times New Roman"/>
          <w:lang w:val="es-CL"/>
        </w:rPr>
        <w:t xml:space="preserve"> período </w:t>
      </w:r>
      <w:r w:rsidR="00BE74CE">
        <w:rPr>
          <w:rFonts w:ascii="Times New Roman" w:hAnsi="Times New Roman" w:cs="Times New Roman"/>
          <w:lang w:val="es-CL"/>
        </w:rPr>
        <w:t>menos su</w:t>
      </w:r>
      <w:r w:rsidRPr="00FA0569">
        <w:rPr>
          <w:rFonts w:ascii="Times New Roman" w:hAnsi="Times New Roman" w:cs="Times New Roman"/>
          <w:lang w:val="es-CL"/>
        </w:rPr>
        <w:t xml:space="preserve"> edad, siempre, sin excepción, para cualquier persona en cualquier </w:t>
      </w:r>
      <w:r w:rsidRPr="00FA0569">
        <w:rPr>
          <w:rFonts w:ascii="Times New Roman" w:hAnsi="Times New Roman" w:cs="Times New Roman"/>
          <w:lang w:val="es-CL"/>
        </w:rPr>
        <w:t>conjunto de datos por separado</w:t>
      </w:r>
      <w:r w:rsidRPr="00FA0569">
        <w:rPr>
          <w:rFonts w:ascii="Times New Roman" w:hAnsi="Times New Roman" w:cs="Times New Roman"/>
          <w:lang w:val="es-CL"/>
        </w:rPr>
        <w:t xml:space="preserve">. Eso significa que si se categorizan las tres variables en intervalos regulares (edad en quinquenios, período en olas, cohorte en quinquenios de nacimiento) y se </w:t>
      </w:r>
      <w:r w:rsidRPr="00FA0569">
        <w:rPr>
          <w:rFonts w:ascii="Times New Roman" w:hAnsi="Times New Roman" w:cs="Times New Roman"/>
          <w:lang w:val="es-CL"/>
        </w:rPr>
        <w:t>introducen</w:t>
      </w:r>
      <w:r w:rsidRPr="00FA0569">
        <w:rPr>
          <w:rFonts w:ascii="Times New Roman" w:hAnsi="Times New Roman" w:cs="Times New Roman"/>
          <w:lang w:val="es-CL"/>
        </w:rPr>
        <w:t xml:space="preserve"> los tres conjuntos de </w:t>
      </w:r>
      <w:r w:rsidRPr="00FA0569">
        <w:rPr>
          <w:rFonts w:ascii="Times New Roman" w:hAnsi="Times New Roman" w:cs="Times New Roman"/>
          <w:lang w:val="es-CL"/>
        </w:rPr>
        <w:t>variables dicotómicas</w:t>
      </w:r>
      <w:r w:rsidRPr="00FA0569">
        <w:rPr>
          <w:rFonts w:ascii="Times New Roman" w:hAnsi="Times New Roman" w:cs="Times New Roman"/>
          <w:lang w:val="es-CL"/>
        </w:rPr>
        <w:t xml:space="preserve"> en la misma regresión, la matriz de diseño queda con una dependencia lineal exacta</w:t>
      </w:r>
      <w:r w:rsidRPr="00FA0569">
        <w:rPr>
          <w:rFonts w:ascii="Times New Roman" w:hAnsi="Times New Roman" w:cs="Times New Roman"/>
          <w:lang w:val="es-CL"/>
        </w:rPr>
        <w:t xml:space="preserve"> ya</w:t>
      </w:r>
      <w:r w:rsidRPr="00FA0569">
        <w:rPr>
          <w:rFonts w:ascii="Times New Roman" w:hAnsi="Times New Roman" w:cs="Times New Roman"/>
          <w:lang w:val="es-CL"/>
        </w:rPr>
        <w:t xml:space="preserve"> existe una combinación de los coeficientes de edad, período y cohorte que, sin importar qué valores tome, no cambia absolutamente nada la predicción del modelo. </w:t>
      </w:r>
    </w:p>
    <w:p w14:paraId="666CFB6C" w14:textId="6AF24969" w:rsidR="00DB753A" w:rsidRPr="00FA0569" w:rsidRDefault="00BE2D50" w:rsidP="007878AF">
      <w:pPr>
        <w:spacing w:after="160"/>
        <w:jc w:val="both"/>
        <w:rPr>
          <w:rFonts w:ascii="Times New Roman" w:hAnsi="Times New Roman" w:cs="Times New Roman"/>
          <w:lang w:val="es-CL"/>
        </w:rPr>
      </w:pPr>
      <w:r w:rsidRPr="00FA0569">
        <w:rPr>
          <w:rFonts w:ascii="Times New Roman" w:hAnsi="Times New Roman" w:cs="Times New Roman"/>
          <w:lang w:val="es-CL"/>
        </w:rPr>
        <w:lastRenderedPageBreak/>
        <w:t>Mason,</w:t>
      </w:r>
      <w:r w:rsidRPr="00FA0569">
        <w:rPr>
          <w:rFonts w:ascii="Times New Roman" w:hAnsi="Times New Roman" w:cs="Times New Roman"/>
          <w:lang w:val="es-CL"/>
        </w:rPr>
        <w:t xml:space="preserve"> et al. (</w:t>
      </w:r>
      <w:r w:rsidRPr="00FA0569">
        <w:rPr>
          <w:rFonts w:ascii="Times New Roman" w:hAnsi="Times New Roman" w:cs="Times New Roman"/>
          <w:lang w:val="es-CL"/>
        </w:rPr>
        <w:t>1973</w:t>
      </w:r>
      <w:r w:rsidRPr="00FA0569">
        <w:rPr>
          <w:rFonts w:ascii="Times New Roman" w:hAnsi="Times New Roman" w:cs="Times New Roman"/>
          <w:lang w:val="es-CL"/>
        </w:rPr>
        <w:t>) formalizaron</w:t>
      </w:r>
      <w:r w:rsidRPr="00FA0569">
        <w:rPr>
          <w:rFonts w:ascii="Times New Roman" w:hAnsi="Times New Roman" w:cs="Times New Roman"/>
          <w:lang w:val="es-CL"/>
        </w:rPr>
        <w:t xml:space="preserve"> este problema y </w:t>
      </w:r>
      <w:r w:rsidRPr="00FA0569">
        <w:rPr>
          <w:rFonts w:ascii="Times New Roman" w:hAnsi="Times New Roman" w:cs="Times New Roman"/>
          <w:lang w:val="es-CL"/>
        </w:rPr>
        <w:t>propusieron</w:t>
      </w:r>
      <w:r w:rsidRPr="00FA0569">
        <w:rPr>
          <w:rFonts w:ascii="Times New Roman" w:hAnsi="Times New Roman" w:cs="Times New Roman"/>
          <w:lang w:val="es-CL"/>
        </w:rPr>
        <w:t xml:space="preserve"> la solución que </w:t>
      </w:r>
      <w:r w:rsidRPr="00FA0569">
        <w:rPr>
          <w:rFonts w:ascii="Times New Roman" w:hAnsi="Times New Roman" w:cs="Times New Roman"/>
          <w:lang w:val="es-CL"/>
        </w:rPr>
        <w:t>predominó en</w:t>
      </w:r>
      <w:r w:rsidRPr="00FA0569">
        <w:rPr>
          <w:rFonts w:ascii="Times New Roman" w:hAnsi="Times New Roman" w:cs="Times New Roman"/>
          <w:lang w:val="es-CL"/>
        </w:rPr>
        <w:t xml:space="preserve"> la literatura durante las tres décadas siguientes</w:t>
      </w:r>
      <w:r w:rsidRPr="00FA0569">
        <w:rPr>
          <w:rFonts w:ascii="Times New Roman" w:hAnsi="Times New Roman" w:cs="Times New Roman"/>
          <w:lang w:val="es-CL"/>
        </w:rPr>
        <w:t>. D</w:t>
      </w:r>
      <w:r w:rsidRPr="00FA0569">
        <w:rPr>
          <w:rFonts w:ascii="Times New Roman" w:hAnsi="Times New Roman" w:cs="Times New Roman"/>
          <w:lang w:val="es-CL"/>
        </w:rPr>
        <w:t>ado que la indeterminación es de exactamente un grado de libertad (una sola combinación lineal de coeficientes queda libre), basta con imponer una restricción arbitraria para que el sistema quede resuelto. La</w:t>
      </w:r>
      <w:r w:rsidRPr="00FA0569">
        <w:rPr>
          <w:rFonts w:ascii="Times New Roman" w:hAnsi="Times New Roman" w:cs="Times New Roman"/>
          <w:lang w:val="es-CL"/>
        </w:rPr>
        <w:t xml:space="preserve"> solución</w:t>
      </w:r>
      <w:r w:rsidRPr="00FA0569">
        <w:rPr>
          <w:rFonts w:ascii="Times New Roman" w:hAnsi="Times New Roman" w:cs="Times New Roman"/>
          <w:lang w:val="es-CL"/>
        </w:rPr>
        <w:t xml:space="preserve"> más común</w:t>
      </w:r>
      <w:r w:rsidRPr="00FA0569">
        <w:rPr>
          <w:rFonts w:ascii="Times New Roman" w:hAnsi="Times New Roman" w:cs="Times New Roman"/>
          <w:lang w:val="es-CL"/>
        </w:rPr>
        <w:t xml:space="preserve"> es f</w:t>
      </w:r>
      <w:r w:rsidRPr="00FA0569">
        <w:rPr>
          <w:rFonts w:ascii="Times New Roman" w:hAnsi="Times New Roman" w:cs="Times New Roman"/>
          <w:lang w:val="es-CL"/>
        </w:rPr>
        <w:t xml:space="preserve">orzar que dos categorías de una de las tres variables tengan el mismo coeficiente </w:t>
      </w:r>
      <w:r w:rsidR="007878AF" w:rsidRPr="00FA0569">
        <w:rPr>
          <w:rFonts w:ascii="Times New Roman" w:hAnsi="Times New Roman" w:cs="Times New Roman"/>
          <w:lang w:val="es-CL"/>
        </w:rPr>
        <w:t>(</w:t>
      </w:r>
      <w:r w:rsidRPr="00FA0569">
        <w:rPr>
          <w:rFonts w:ascii="Times New Roman" w:hAnsi="Times New Roman" w:cs="Times New Roman"/>
          <w:lang w:val="es-CL"/>
        </w:rPr>
        <w:t>por ejemplo, declarar que el efecto de la cohorte 1965-69 es idéntico al de la cohorte 1970-74</w:t>
      </w:r>
      <w:r w:rsidR="007878AF" w:rsidRPr="00FA0569">
        <w:rPr>
          <w:rFonts w:ascii="Times New Roman" w:hAnsi="Times New Roman" w:cs="Times New Roman"/>
          <w:lang w:val="es-CL"/>
        </w:rPr>
        <w:t xml:space="preserve">). </w:t>
      </w:r>
      <w:r w:rsidRPr="00FA0569">
        <w:rPr>
          <w:rFonts w:ascii="Times New Roman" w:hAnsi="Times New Roman" w:cs="Times New Roman"/>
          <w:lang w:val="es-CL"/>
        </w:rPr>
        <w:t>Con esa igualdad impuesta, el modelo deja de tener soluciones múltiples y se puede estimar con una regresión ordinaria</w:t>
      </w:r>
      <w:r w:rsidR="007878AF" w:rsidRPr="00FA0569">
        <w:rPr>
          <w:rFonts w:ascii="Times New Roman" w:hAnsi="Times New Roman" w:cs="Times New Roman"/>
          <w:lang w:val="es-CL"/>
        </w:rPr>
        <w:t xml:space="preserve">. A este </w:t>
      </w:r>
      <w:r w:rsidRPr="00FA0569">
        <w:rPr>
          <w:rFonts w:ascii="Times New Roman" w:hAnsi="Times New Roman" w:cs="Times New Roman"/>
          <w:lang w:val="es-CL"/>
        </w:rPr>
        <w:t>método se le llama CGLIM (Constrained Generalized Linear Model).</w:t>
      </w:r>
    </w:p>
    <w:p w14:paraId="34D92058" w14:textId="7CEAB8F4" w:rsidR="00321B76" w:rsidRPr="00FA0569" w:rsidRDefault="007878AF" w:rsidP="007878AF">
      <w:pPr>
        <w:spacing w:after="160"/>
        <w:jc w:val="both"/>
        <w:rPr>
          <w:rFonts w:ascii="Times New Roman" w:hAnsi="Times New Roman" w:cs="Times New Roman"/>
          <w:lang w:val="es-CL"/>
        </w:rPr>
      </w:pPr>
      <w:r w:rsidRPr="00FA0569">
        <w:rPr>
          <w:rFonts w:ascii="Times New Roman" w:hAnsi="Times New Roman" w:cs="Times New Roman"/>
          <w:lang w:val="es-CL"/>
        </w:rPr>
        <w:t xml:space="preserve">Sin embargo, este método plantea una solución donde </w:t>
      </w:r>
      <w:r w:rsidRPr="00FA0569">
        <w:rPr>
          <w:rFonts w:ascii="Times New Roman" w:hAnsi="Times New Roman" w:cs="Times New Roman"/>
          <w:lang w:val="es-CL"/>
        </w:rPr>
        <w:t>la restricción no viene de la teoría, viene de la necesidad matemática de romper el empate</w:t>
      </w:r>
      <w:r w:rsidRPr="00FA0569">
        <w:rPr>
          <w:rFonts w:ascii="Times New Roman" w:hAnsi="Times New Roman" w:cs="Times New Roman"/>
          <w:lang w:val="es-CL"/>
        </w:rPr>
        <w:t>,</w:t>
      </w:r>
      <w:r w:rsidRPr="00FA0569">
        <w:rPr>
          <w:rFonts w:ascii="Times New Roman" w:hAnsi="Times New Roman" w:cs="Times New Roman"/>
          <w:lang w:val="es-CL"/>
        </w:rPr>
        <w:t xml:space="preserve"> y distintas elecciones, todas igual de "razonables" a primera vista, pueden producir historias sustantivas opuestas con exactamente los mismos datos</w:t>
      </w:r>
      <w:r w:rsidRPr="00FA0569">
        <w:rPr>
          <w:rFonts w:ascii="Times New Roman" w:hAnsi="Times New Roman" w:cs="Times New Roman"/>
          <w:lang w:val="es-CL"/>
        </w:rPr>
        <w:t>. Yang y Lang (2006) proponen que e</w:t>
      </w:r>
      <w:r w:rsidRPr="00FA0569">
        <w:rPr>
          <w:rFonts w:ascii="Times New Roman" w:hAnsi="Times New Roman" w:cs="Times New Roman"/>
          <w:lang w:val="es-CL"/>
        </w:rPr>
        <w:t>n vez de tratar a período como un conjunto de dummies fijas (18 coeficientes libres, uno por ola), se lo trata como un efecto aleatorio de nivel 2</w:t>
      </w:r>
      <w:r w:rsidRPr="00FA0569">
        <w:rPr>
          <w:rFonts w:ascii="Times New Roman" w:hAnsi="Times New Roman" w:cs="Times New Roman"/>
          <w:lang w:val="es-CL"/>
        </w:rPr>
        <w:t>,</w:t>
      </w:r>
      <w:r w:rsidRPr="00FA0569">
        <w:rPr>
          <w:rFonts w:ascii="Times New Roman" w:hAnsi="Times New Roman" w:cs="Times New Roman"/>
          <w:lang w:val="es-CL"/>
        </w:rPr>
        <w:t xml:space="preserve"> los individuos quedan anidados dentro de su año de encuesta, y en vez de estimar un coeficiente propio para cada ola, el modelo estima un único parámetro de varianza que describe qué tan dispersos están los promedios de las olas alrededor de un promedio general</w:t>
      </w:r>
      <w:r w:rsidRPr="00FA0569">
        <w:rPr>
          <w:rFonts w:ascii="Times New Roman" w:hAnsi="Times New Roman" w:cs="Times New Roman"/>
          <w:lang w:val="es-CL"/>
        </w:rPr>
        <w:t xml:space="preserve">. </w:t>
      </w:r>
      <w:r w:rsidRPr="00FA0569">
        <w:rPr>
          <w:rFonts w:ascii="Times New Roman" w:hAnsi="Times New Roman" w:cs="Times New Roman"/>
          <w:lang w:val="es-CL"/>
        </w:rPr>
        <w:t>El resultado práctico es que cualquier tendencia suave en el tiempo que exista en los datos queda absorbida por edad y cohorte (que sí siguen siendo efectos fijos con toda su flexibilidad), y período se queda solo con las desviaciones "de época" específicas de cada ola</w:t>
      </w:r>
      <w:r w:rsidRPr="00FA0569">
        <w:rPr>
          <w:rFonts w:ascii="Times New Roman" w:hAnsi="Times New Roman" w:cs="Times New Roman"/>
          <w:lang w:val="es-CL"/>
        </w:rPr>
        <w:t>.</w:t>
      </w:r>
    </w:p>
    <w:p w14:paraId="591AFACA" w14:textId="467FA8C9" w:rsidR="00B808A5" w:rsidRPr="00FA0569" w:rsidRDefault="00B808A5" w:rsidP="00B808A5">
      <w:pPr>
        <w:spacing w:after="160"/>
        <w:jc w:val="both"/>
        <w:rPr>
          <w:rFonts w:ascii="Times New Roman" w:hAnsi="Times New Roman" w:cs="Times New Roman"/>
          <w:lang w:val="es-CL"/>
        </w:rPr>
      </w:pPr>
      <w:r w:rsidRPr="00FA0569">
        <w:rPr>
          <w:rFonts w:ascii="Times New Roman" w:hAnsi="Times New Roman" w:cs="Times New Roman"/>
          <w:lang w:val="es-CL"/>
        </w:rPr>
        <w:t>A partir de esto</w:t>
      </w:r>
      <w:r w:rsidRPr="00FA0569">
        <w:rPr>
          <w:rFonts w:ascii="Times New Roman" w:hAnsi="Times New Roman" w:cs="Times New Roman"/>
          <w:lang w:val="es-CL"/>
        </w:rPr>
        <w:t>, se estimaron modelos jerárquicos</w:t>
      </w:r>
      <w:r w:rsidR="00763122">
        <w:rPr>
          <w:rFonts w:ascii="Times New Roman" w:hAnsi="Times New Roman" w:cs="Times New Roman"/>
          <w:lang w:val="es-CL"/>
        </w:rPr>
        <w:t xml:space="preserve"> (multinivel)</w:t>
      </w:r>
      <w:r w:rsidRPr="00FA0569">
        <w:rPr>
          <w:rFonts w:ascii="Times New Roman" w:hAnsi="Times New Roman" w:cs="Times New Roman"/>
          <w:lang w:val="es-CL"/>
        </w:rPr>
        <w:t xml:space="preserve"> edad-período-cohorte (APC) para la confianza en cinco instituciones por separado (Gobierno, Parlamento, Partidos, Fuerzas Armadas e Iglesia). Siguiendo el enfoque de Yang y Land (2006), período se incorporó como intercepto aleatorio de nivel 2 (una desviación propia por cada una de las 18 olas del panel), mientras que edad </w:t>
      </w:r>
      <w:r w:rsidRPr="00FA0569">
        <w:rPr>
          <w:rFonts w:ascii="Times New Roman" w:hAnsi="Times New Roman" w:cs="Times New Roman"/>
          <w:lang w:val="es-CL"/>
        </w:rPr>
        <w:t>(y su término cuadrático)</w:t>
      </w:r>
      <w:r w:rsidRPr="00FA0569">
        <w:rPr>
          <w:rFonts w:ascii="Times New Roman" w:hAnsi="Times New Roman" w:cs="Times New Roman"/>
          <w:lang w:val="es-CL"/>
        </w:rPr>
        <w:t xml:space="preserve"> y cohorte se estimaron como efectos fijos de nivel 1, </w:t>
      </w:r>
      <w:r w:rsidR="00CC1DA6" w:rsidRPr="00FA0569">
        <w:rPr>
          <w:rFonts w:ascii="Times New Roman" w:hAnsi="Times New Roman" w:cs="Times New Roman"/>
          <w:lang w:val="es-CL"/>
        </w:rPr>
        <w:t>estableciendo las cohortes a partir de saltos</w:t>
      </w:r>
      <w:r w:rsidRPr="00FA0569">
        <w:rPr>
          <w:rFonts w:ascii="Times New Roman" w:hAnsi="Times New Roman" w:cs="Times New Roman"/>
          <w:lang w:val="es-CL"/>
        </w:rPr>
        <w:t xml:space="preserve"> quinquenal</w:t>
      </w:r>
      <w:r w:rsidR="00CC1DA6" w:rsidRPr="00FA0569">
        <w:rPr>
          <w:rFonts w:ascii="Times New Roman" w:hAnsi="Times New Roman" w:cs="Times New Roman"/>
          <w:lang w:val="es-CL"/>
        </w:rPr>
        <w:t>, pasa así</w:t>
      </w:r>
      <w:r w:rsidRPr="00FA0569">
        <w:rPr>
          <w:rFonts w:ascii="Times New Roman" w:hAnsi="Times New Roman" w:cs="Times New Roman"/>
          <w:lang w:val="es-CL"/>
        </w:rPr>
        <w:t xml:space="preserve"> </w:t>
      </w:r>
      <w:r w:rsidR="00CC1DA6" w:rsidRPr="00FA0569">
        <w:rPr>
          <w:rFonts w:ascii="Times New Roman" w:hAnsi="Times New Roman" w:cs="Times New Roman"/>
          <w:lang w:val="es-CL"/>
        </w:rPr>
        <w:t xml:space="preserve">tener suficiente N por celda para que los modelos multinivel converjan con estimaciones razonablemente precisas, y al mismo tiempo suficiente resolución para poder testear, </w:t>
      </w:r>
      <w:r w:rsidR="00CC1DA6" w:rsidRPr="00FA0569">
        <w:rPr>
          <w:rFonts w:ascii="Times New Roman" w:hAnsi="Times New Roman" w:cs="Times New Roman"/>
          <w:lang w:val="es-CL"/>
        </w:rPr>
        <w:t>quinquenio por quinquenio,</w:t>
      </w:r>
      <w:r w:rsidR="00CC1DA6" w:rsidRPr="00FA0569">
        <w:rPr>
          <w:rFonts w:ascii="Times New Roman" w:hAnsi="Times New Roman" w:cs="Times New Roman"/>
          <w:lang w:val="es-CL"/>
        </w:rPr>
        <w:t xml:space="preserve"> dónde está exactamente el quiebre generacional</w:t>
      </w:r>
      <w:r w:rsidRPr="00FA0569">
        <w:rPr>
          <w:rFonts w:ascii="Times New Roman" w:hAnsi="Times New Roman" w:cs="Times New Roman"/>
          <w:lang w:val="es-CL"/>
        </w:rPr>
        <w:t>. A esta estructura se sumaron controles por sexo, nivel educativo y nivel socioeconómico, y el ponderador muestral de cada ola con errores estándar robustos</w:t>
      </w:r>
      <w:r w:rsidR="00CC1DA6" w:rsidRPr="00FA0569">
        <w:rPr>
          <w:rFonts w:ascii="Times New Roman" w:hAnsi="Times New Roman" w:cs="Times New Roman"/>
          <w:lang w:val="es-CL"/>
        </w:rPr>
        <w:t xml:space="preserve">. </w:t>
      </w:r>
    </w:p>
    <w:p w14:paraId="7B13EBAD" w14:textId="3E066698" w:rsidR="00B808A5" w:rsidRPr="00FA0569" w:rsidRDefault="00FA0569" w:rsidP="00CC1DA6">
      <w:pPr>
        <w:spacing w:after="160"/>
        <w:jc w:val="both"/>
        <w:rPr>
          <w:rFonts w:ascii="Times New Roman" w:hAnsi="Times New Roman" w:cs="Times New Roman"/>
          <w:lang w:val="es-CL"/>
        </w:rPr>
      </w:pPr>
      <w:r w:rsidRPr="00FA0569">
        <w:rPr>
          <w:rFonts w:ascii="Times New Roman" w:hAnsi="Times New Roman" w:cs="Times New Roman"/>
          <w:lang w:val="es-CL"/>
        </w:rPr>
        <w:t>Se</w:t>
      </w:r>
      <w:r w:rsidR="00B808A5" w:rsidRPr="00FA0569">
        <w:rPr>
          <w:rFonts w:ascii="Times New Roman" w:hAnsi="Times New Roman" w:cs="Times New Roman"/>
          <w:lang w:val="es-CL"/>
        </w:rPr>
        <w:t xml:space="preserve"> operacionalizó en tres</w:t>
      </w:r>
      <w:r w:rsidRPr="00FA0569">
        <w:rPr>
          <w:rFonts w:ascii="Times New Roman" w:hAnsi="Times New Roman" w:cs="Times New Roman"/>
          <w:lang w:val="es-CL"/>
        </w:rPr>
        <w:t xml:space="preserve"> la variable dependiente en</w:t>
      </w:r>
      <w:r w:rsidR="00B808A5" w:rsidRPr="00FA0569">
        <w:rPr>
          <w:rFonts w:ascii="Times New Roman" w:hAnsi="Times New Roman" w:cs="Times New Roman"/>
          <w:lang w:val="es-CL"/>
        </w:rPr>
        <w:t xml:space="preserve"> versiones que se estimaron en paralelo, no de forma excluyente, porque ninguna de las tres lecturas de la escala está exenta de costos. La primera especificación </w:t>
      </w:r>
      <w:r w:rsidRPr="00FA0569">
        <w:rPr>
          <w:rFonts w:ascii="Times New Roman" w:hAnsi="Times New Roman" w:cs="Times New Roman"/>
          <w:lang w:val="es-CL"/>
        </w:rPr>
        <w:t xml:space="preserve">estandariza la escala en puntajes z calculados dentro de cada año de encuesta </w:t>
      </w:r>
      <w:r w:rsidRPr="00FA0569">
        <w:rPr>
          <w:rFonts w:ascii="Times New Roman" w:hAnsi="Times New Roman" w:cs="Times New Roman"/>
          <w:lang w:val="es-CL"/>
        </w:rPr>
        <w:t>(</w:t>
      </w:r>
      <w:r w:rsidRPr="00FA0569">
        <w:rPr>
          <w:rFonts w:ascii="Times New Roman" w:hAnsi="Times New Roman" w:cs="Times New Roman"/>
          <w:lang w:val="es-CL"/>
        </w:rPr>
        <w:t>de manera que un cambio en el nivel de confianza no se confunda con un cambio en cómo se distribuyó la escala esa ola en particular</w:t>
      </w:r>
      <w:r w:rsidRPr="00FA0569">
        <w:rPr>
          <w:rFonts w:ascii="Times New Roman" w:hAnsi="Times New Roman" w:cs="Times New Roman"/>
          <w:lang w:val="es-CL"/>
        </w:rPr>
        <w:t>)</w:t>
      </w:r>
      <w:r w:rsidRPr="00FA0569">
        <w:rPr>
          <w:rFonts w:ascii="Times New Roman" w:hAnsi="Times New Roman" w:cs="Times New Roman"/>
          <w:lang w:val="es-CL"/>
        </w:rPr>
        <w:t xml:space="preserve"> y se estimó mediante un modelo lineal multinivel. Esta versión aprovecha toda la variación de la escala original, pero exige que la variable se comporte de forma continua y aproximadamente simétrica, un supuesto que no necesariamente se cumple en una escala Likert de cinco puntos. La segunda especificación </w:t>
      </w:r>
      <w:r w:rsidR="00B808A5" w:rsidRPr="00FA0569">
        <w:rPr>
          <w:rFonts w:ascii="Times New Roman" w:hAnsi="Times New Roman" w:cs="Times New Roman"/>
          <w:lang w:val="es-CL"/>
        </w:rPr>
        <w:t>dicotomiza la escala en confianza alta (</w:t>
      </w:r>
      <w:r w:rsidR="00B808A5" w:rsidRPr="00FA0569">
        <w:rPr>
          <w:rFonts w:ascii="Times New Roman" w:hAnsi="Times New Roman" w:cs="Times New Roman"/>
          <w:i/>
          <w:iCs/>
          <w:lang w:val="es-CL"/>
        </w:rPr>
        <w:t>top-2-box</w:t>
      </w:r>
      <w:r w:rsidRPr="00FA0569">
        <w:rPr>
          <w:rFonts w:ascii="Times New Roman" w:hAnsi="Times New Roman" w:cs="Times New Roman"/>
          <w:lang w:val="es-CL"/>
        </w:rPr>
        <w:t>,</w:t>
      </w:r>
      <w:r w:rsidR="00B808A5" w:rsidRPr="00FA0569">
        <w:rPr>
          <w:rFonts w:ascii="Times New Roman" w:hAnsi="Times New Roman" w:cs="Times New Roman"/>
          <w:lang w:val="es-CL"/>
        </w:rPr>
        <w:t xml:space="preserve"> valores 4 y 5) frente a baja (1 a 3), y se estimó mediante un modelo logístico multinivel. Esta versión</w:t>
      </w:r>
      <w:r w:rsidRPr="00FA0569">
        <w:rPr>
          <w:rFonts w:ascii="Times New Roman" w:hAnsi="Times New Roman" w:cs="Times New Roman"/>
          <w:lang w:val="es-CL"/>
        </w:rPr>
        <w:t>, a diferencia de la anterior,</w:t>
      </w:r>
      <w:r w:rsidR="00B808A5" w:rsidRPr="00FA0569">
        <w:rPr>
          <w:rFonts w:ascii="Times New Roman" w:hAnsi="Times New Roman" w:cs="Times New Roman"/>
          <w:lang w:val="es-CL"/>
        </w:rPr>
        <w:t xml:space="preserve"> no impone ningún supuesto de normalidad sobre la variable, pero pierde información al colapsar cinco categorías en dos, con la consiguiente pérdida de potencia estadística. La tercera especificación conserva la escala ordinal completa (1 a 5) sin ninguna transformación, y se estimó mediante un modelo logístico ordinal multinivel. Este modelo asume la existencia de una variable latente continua subyacente a las categorías observadas, cuyos puntos de corte entre categorías se estiman libremente a partir de los datos</w:t>
      </w:r>
      <w:r w:rsidRPr="00FA0569">
        <w:rPr>
          <w:rFonts w:ascii="Times New Roman" w:hAnsi="Times New Roman" w:cs="Times New Roman"/>
          <w:lang w:val="es-CL"/>
        </w:rPr>
        <w:t>,</w:t>
      </w:r>
      <w:r w:rsidR="00B808A5" w:rsidRPr="00FA0569">
        <w:rPr>
          <w:rFonts w:ascii="Times New Roman" w:hAnsi="Times New Roman" w:cs="Times New Roman"/>
          <w:lang w:val="es-CL"/>
        </w:rPr>
        <w:t xml:space="preserve"> de este modo utiliza toda la información de la escala sin colapsarla, y sin exigirle un comportamiento normal a la variable observada</w:t>
      </w:r>
      <w:r w:rsidRPr="00FA0569">
        <w:rPr>
          <w:rFonts w:ascii="Times New Roman" w:hAnsi="Times New Roman" w:cs="Times New Roman"/>
          <w:lang w:val="es-CL"/>
        </w:rPr>
        <w:t xml:space="preserve">, </w:t>
      </w:r>
      <w:r w:rsidR="00B808A5" w:rsidRPr="00FA0569">
        <w:rPr>
          <w:rFonts w:ascii="Times New Roman" w:hAnsi="Times New Roman" w:cs="Times New Roman"/>
          <w:lang w:val="es-CL"/>
        </w:rPr>
        <w:t>solo a la variable latente que la genera.</w:t>
      </w:r>
    </w:p>
    <w:p w14:paraId="4E333C0D" w14:textId="6E1A3B1D" w:rsidR="00F62EE8" w:rsidRPr="00FA0569" w:rsidRDefault="00B808A5" w:rsidP="0031052F">
      <w:pPr>
        <w:spacing w:after="160"/>
        <w:jc w:val="both"/>
        <w:rPr>
          <w:rFonts w:ascii="Times New Roman" w:hAnsi="Times New Roman" w:cs="Times New Roman"/>
          <w:lang w:val="es-CL"/>
        </w:rPr>
      </w:pPr>
      <w:r w:rsidRPr="00FA0569">
        <w:rPr>
          <w:rFonts w:ascii="Times New Roman" w:hAnsi="Times New Roman" w:cs="Times New Roman"/>
          <w:lang w:val="es-CL"/>
        </w:rPr>
        <w:t xml:space="preserve">Esta última especificación, la ordinal, se adoptó como la principal para efectos de reporte </w:t>
      </w:r>
      <w:r w:rsidR="00FA0569">
        <w:rPr>
          <w:rFonts w:ascii="Times New Roman" w:hAnsi="Times New Roman" w:cs="Times New Roman"/>
          <w:lang w:val="es-CL"/>
        </w:rPr>
        <w:t xml:space="preserve">ya que </w:t>
      </w:r>
      <w:r w:rsidRPr="00FA0569">
        <w:rPr>
          <w:rFonts w:ascii="Times New Roman" w:hAnsi="Times New Roman" w:cs="Times New Roman"/>
          <w:lang w:val="es-CL"/>
        </w:rPr>
        <w:t xml:space="preserve">al examinar la asimetría y curtosis de los residuos del modelo </w:t>
      </w:r>
      <w:r w:rsidR="00FA0569">
        <w:rPr>
          <w:rFonts w:ascii="Times New Roman" w:hAnsi="Times New Roman" w:cs="Times New Roman"/>
          <w:lang w:val="es-CL"/>
        </w:rPr>
        <w:t>con la variable estandarizada</w:t>
      </w:r>
      <w:r w:rsidRPr="00FA0569">
        <w:rPr>
          <w:rFonts w:ascii="Times New Roman" w:hAnsi="Times New Roman" w:cs="Times New Roman"/>
          <w:lang w:val="es-CL"/>
        </w:rPr>
        <w:t xml:space="preserve">, la violación del supuesto de normalidad resultó seria específicamente en Parlamento y Partidos </w:t>
      </w:r>
      <w:r w:rsidR="00FA0569" w:rsidRPr="00FA0569">
        <w:rPr>
          <w:rFonts w:ascii="Times New Roman" w:hAnsi="Times New Roman" w:cs="Times New Roman"/>
          <w:lang w:val="es-CL"/>
        </w:rPr>
        <w:t>(</w:t>
      </w:r>
      <w:r w:rsidRPr="00FA0569">
        <w:rPr>
          <w:rFonts w:ascii="Times New Roman" w:hAnsi="Times New Roman" w:cs="Times New Roman"/>
          <w:lang w:val="es-CL"/>
        </w:rPr>
        <w:t xml:space="preserve">las dos instituciones con los niveles de </w:t>
      </w:r>
      <w:r w:rsidRPr="00FA0569">
        <w:rPr>
          <w:rFonts w:ascii="Times New Roman" w:hAnsi="Times New Roman" w:cs="Times New Roman"/>
          <w:lang w:val="es-CL"/>
        </w:rPr>
        <w:lastRenderedPageBreak/>
        <w:t>confianza más bajos y una distribución fuertemente concentrada en el piso de la escala</w:t>
      </w:r>
      <w:r w:rsidR="00FA0569" w:rsidRPr="00FA0569">
        <w:rPr>
          <w:rFonts w:ascii="Times New Roman" w:hAnsi="Times New Roman" w:cs="Times New Roman"/>
          <w:lang w:val="es-CL"/>
        </w:rPr>
        <w:t>)</w:t>
      </w:r>
      <w:r w:rsidRPr="00FA0569">
        <w:rPr>
          <w:rFonts w:ascii="Times New Roman" w:hAnsi="Times New Roman" w:cs="Times New Roman"/>
          <w:lang w:val="es-CL"/>
        </w:rPr>
        <w:t xml:space="preserve"> y comparativamente leve en Gobierno, Fuerzas Armadas e Iglesia. Dado que el modelo ordinal no depende de ese supuesto, ofrece la estimación más conservadora y generalizable a través de las cinco instituciones, con las otras dos especificaciones funcionando como verificación de robustez. La misma estructura de tres modelos se replicó además utilizando una periodización histórico-generacional (cinco bloques, en lugar de las cohortes quinquenales) como chequeo adicional de robustez frente a la elección de la unidad de análisis generacional.</w:t>
      </w:r>
    </w:p>
    <w:p w14:paraId="4FF9CB0E" w14:textId="42C76EF2" w:rsidR="00B808A5" w:rsidRDefault="0031052F" w:rsidP="00763122">
      <w:pPr>
        <w:spacing w:after="160"/>
        <w:jc w:val="both"/>
        <w:rPr>
          <w:rFonts w:ascii="Times New Roman" w:hAnsi="Times New Roman" w:cs="Times New Roman"/>
          <w:lang w:val="es-CL"/>
        </w:rPr>
      </w:pPr>
      <w:r>
        <w:rPr>
          <w:rFonts w:ascii="Times New Roman" w:hAnsi="Times New Roman" w:cs="Times New Roman"/>
          <w:lang w:val="es-CL"/>
        </w:rPr>
        <w:t>Finalmente, l</w:t>
      </w:r>
      <w:r w:rsidR="00763122" w:rsidRPr="00763122">
        <w:rPr>
          <w:rFonts w:ascii="Times New Roman" w:hAnsi="Times New Roman" w:cs="Times New Roman"/>
          <w:lang w:val="es-CL"/>
        </w:rPr>
        <w:t>os tres esquemas</w:t>
      </w:r>
      <w:r>
        <w:rPr>
          <w:rFonts w:ascii="Times New Roman" w:hAnsi="Times New Roman" w:cs="Times New Roman"/>
          <w:lang w:val="es-CL"/>
        </w:rPr>
        <w:t xml:space="preserve"> generacionales</w:t>
      </w:r>
      <w:r w:rsidR="00763122" w:rsidRPr="00763122">
        <w:rPr>
          <w:rFonts w:ascii="Times New Roman" w:hAnsi="Times New Roman" w:cs="Times New Roman"/>
          <w:lang w:val="es-CL"/>
        </w:rPr>
        <w:t xml:space="preserve"> se testearon mediante tests de Wald aplicados sobre los coeficientes de cohorte de modelos multinivel ya estimados</w:t>
      </w:r>
      <w:r>
        <w:rPr>
          <w:rFonts w:ascii="Times New Roman" w:hAnsi="Times New Roman" w:cs="Times New Roman"/>
          <w:lang w:val="es-CL"/>
        </w:rPr>
        <w:t xml:space="preserve">. </w:t>
      </w:r>
      <w:r w:rsidR="00763122" w:rsidRPr="00763122">
        <w:rPr>
          <w:rFonts w:ascii="Times New Roman" w:hAnsi="Times New Roman" w:cs="Times New Roman"/>
          <w:lang w:val="es-CL"/>
        </w:rPr>
        <w:t>Se aplicaron dos tipos de test</w:t>
      </w:r>
      <w:r>
        <w:rPr>
          <w:rFonts w:ascii="Times New Roman" w:hAnsi="Times New Roman" w:cs="Times New Roman"/>
          <w:lang w:val="es-CL"/>
        </w:rPr>
        <w:t>,</w:t>
      </w:r>
      <w:r w:rsidR="00763122" w:rsidRPr="00763122">
        <w:rPr>
          <w:rFonts w:ascii="Times New Roman" w:hAnsi="Times New Roman" w:cs="Times New Roman"/>
          <w:lang w:val="es-CL"/>
        </w:rPr>
        <w:t xml:space="preserve"> uno "dentro de bloque", que evalúa si los quinquenios que un esquema agrupa bajo una misma etiqueta generacional son estadísticamente indistinguibles entre sí</w:t>
      </w:r>
      <w:r>
        <w:rPr>
          <w:rFonts w:ascii="Times New Roman" w:hAnsi="Times New Roman" w:cs="Times New Roman"/>
          <w:lang w:val="es-CL"/>
        </w:rPr>
        <w:t xml:space="preserve">, </w:t>
      </w:r>
      <w:r w:rsidR="00763122" w:rsidRPr="00763122">
        <w:rPr>
          <w:rFonts w:ascii="Times New Roman" w:hAnsi="Times New Roman" w:cs="Times New Roman"/>
          <w:lang w:val="es-CL"/>
        </w:rPr>
        <w:t xml:space="preserve">y otro "de frontera", que evalúa si dos quinquenios contiguos a ambos lados de un límite generacional propuesto difieren entre sí. Cada frontera candidata </w:t>
      </w:r>
      <w:r>
        <w:rPr>
          <w:rFonts w:ascii="Times New Roman" w:hAnsi="Times New Roman" w:cs="Times New Roman"/>
          <w:lang w:val="es-CL"/>
        </w:rPr>
        <w:t>(</w:t>
      </w:r>
      <w:r w:rsidR="00763122" w:rsidRPr="00763122">
        <w:rPr>
          <w:rFonts w:ascii="Times New Roman" w:hAnsi="Times New Roman" w:cs="Times New Roman"/>
          <w:lang w:val="es-CL"/>
        </w:rPr>
        <w:t>diez en total entre los tres esquemas</w:t>
      </w:r>
      <w:r>
        <w:rPr>
          <w:rFonts w:ascii="Times New Roman" w:hAnsi="Times New Roman" w:cs="Times New Roman"/>
          <w:lang w:val="es-CL"/>
        </w:rPr>
        <w:t>)</w:t>
      </w:r>
      <w:r w:rsidR="00763122" w:rsidRPr="00763122">
        <w:rPr>
          <w:rFonts w:ascii="Times New Roman" w:hAnsi="Times New Roman" w:cs="Times New Roman"/>
          <w:lang w:val="es-CL"/>
        </w:rPr>
        <w:t xml:space="preserve"> se testeó para las cinco instituciones evaluadas (Gobierno, Parlamento, Partidos políticos, Fuerzas Armadas, Iglesia) y en las tres especificaciones de variable dependiente, de modo que una frontera solo se consideró robusta si sobrevivía de manera consistente a través de especificaciones e instituciones, no si aparecía significativa de forma aislada en un único modelo.</w:t>
      </w:r>
    </w:p>
    <w:p w14:paraId="292DBCD7" w14:textId="77777777" w:rsidR="0031052F" w:rsidRDefault="0031052F" w:rsidP="00763122">
      <w:pPr>
        <w:spacing w:after="160"/>
        <w:jc w:val="both"/>
        <w:rPr>
          <w:rFonts w:ascii="Times New Roman" w:hAnsi="Times New Roman" w:cs="Times New Roman"/>
          <w:lang w:val="es-CL"/>
        </w:rPr>
      </w:pPr>
    </w:p>
    <w:p w14:paraId="04108987" w14:textId="78C769BA" w:rsidR="0031052F" w:rsidRDefault="0031052F" w:rsidP="00763122">
      <w:pPr>
        <w:spacing w:after="160"/>
        <w:jc w:val="both"/>
        <w:rPr>
          <w:rFonts w:ascii="Times New Roman" w:hAnsi="Times New Roman" w:cs="Times New Roman"/>
          <w:lang w:val="es-CL"/>
        </w:rPr>
      </w:pPr>
      <w:r>
        <w:rPr>
          <w:rFonts w:ascii="Times New Roman" w:hAnsi="Times New Roman" w:cs="Times New Roman"/>
          <w:lang w:val="es-CL"/>
        </w:rPr>
        <w:t xml:space="preserve">Resultados: </w:t>
      </w:r>
    </w:p>
    <w:p w14:paraId="6C2029AD" w14:textId="77777777" w:rsidR="0031052F" w:rsidRDefault="0031052F" w:rsidP="00763122">
      <w:pPr>
        <w:spacing w:after="160"/>
        <w:jc w:val="both"/>
        <w:rPr>
          <w:rFonts w:ascii="Times New Roman" w:hAnsi="Times New Roman" w:cs="Times New Roman"/>
          <w:lang w:val="es-CL"/>
        </w:rPr>
      </w:pPr>
    </w:p>
    <w:p w14:paraId="2BC394D4" w14:textId="1A7647B7" w:rsidR="00C21F1B" w:rsidRDefault="00C21F1B" w:rsidP="00763122">
      <w:pPr>
        <w:spacing w:after="160"/>
        <w:jc w:val="both"/>
        <w:rPr>
          <w:rFonts w:ascii="Times New Roman" w:hAnsi="Times New Roman" w:cs="Times New Roman"/>
          <w:lang w:val="es-CL"/>
        </w:rPr>
      </w:pPr>
      <w:r>
        <w:rPr>
          <w:rFonts w:ascii="Times New Roman" w:hAnsi="Times New Roman" w:cs="Times New Roman"/>
          <w:lang w:val="es-CL"/>
        </w:rPr>
        <w:t>Fuerzas armadas:</w:t>
      </w:r>
    </w:p>
    <w:p w14:paraId="46F4F9DE" w14:textId="4E433E4C" w:rsidR="00C21F1B" w:rsidRDefault="00C21F1B" w:rsidP="00763122">
      <w:pPr>
        <w:spacing w:after="160"/>
        <w:jc w:val="both"/>
        <w:rPr>
          <w:rFonts w:ascii="Times New Roman" w:hAnsi="Times New Roman" w:cs="Times New Roman"/>
          <w:lang w:val="es-CL"/>
        </w:rPr>
      </w:pPr>
      <w:r w:rsidRPr="00C21F1B">
        <w:rPr>
          <w:rFonts w:ascii="Times New Roman" w:hAnsi="Times New Roman" w:cs="Times New Roman"/>
          <w:lang w:val="es-CL"/>
        </w:rPr>
        <w:t>Fuerzas Armadas es la institución con el residuo más simétrico (skewness=0.08, la más "limpia" del panel) y donde la cohorte 1995-99 ya muestra una confianza significativamente mayor que la referencia (OR=1.964*) — el salto generacional aparece una cohorte antes que en Parlamento/Partidos. El efecto de sexo es el más fuerte de las cinco instituciones (mujer: OR=0.849***, las mujeres confían sistemáticamente menos en las FF.AA.), y NSE muestra un gradiente más plano que en las otras instituciones (Medio-alto C2 no significativo, Bajo D/E sí: OR=0.793***).</w:t>
      </w:r>
    </w:p>
    <w:p w14:paraId="0B383B42" w14:textId="77777777" w:rsidR="0031052F" w:rsidRDefault="0031052F" w:rsidP="0031052F">
      <w:pPr>
        <w:spacing w:after="160"/>
        <w:jc w:val="both"/>
        <w:rPr>
          <w:rFonts w:ascii="Times New Roman" w:hAnsi="Times New Roman" w:cs="Times New Roman"/>
          <w:lang w:val="es-CL"/>
        </w:rPr>
      </w:pPr>
    </w:p>
    <w:p w14:paraId="15EE6D58" w14:textId="77777777" w:rsidR="0031052F" w:rsidRDefault="0031052F" w:rsidP="0031052F">
      <w:pPr>
        <w:spacing w:after="160"/>
        <w:jc w:val="both"/>
        <w:rPr>
          <w:rFonts w:ascii="Times New Roman" w:hAnsi="Times New Roman" w:cs="Times New Roman"/>
          <w:lang w:val="es-CL"/>
        </w:rPr>
      </w:pPr>
    </w:p>
    <w:p w14:paraId="041291F5" w14:textId="6E3C2F45" w:rsidR="0031052F" w:rsidRPr="0031052F" w:rsidRDefault="0031052F" w:rsidP="0031052F">
      <w:pPr>
        <w:spacing w:after="160"/>
        <w:jc w:val="both"/>
        <w:rPr>
          <w:rFonts w:ascii="Times New Roman" w:hAnsi="Times New Roman" w:cs="Times New Roman"/>
          <w:lang w:val="es-CL"/>
        </w:rPr>
      </w:pPr>
      <w:r w:rsidRPr="0031052F">
        <w:rPr>
          <w:rFonts w:ascii="Times New Roman" w:hAnsi="Times New Roman" w:cs="Times New Roman"/>
          <w:lang w:val="es-CL"/>
        </w:rPr>
        <w:lastRenderedPageBreak/>
        <w:drawing>
          <wp:inline distT="0" distB="0" distL="0" distR="0" wp14:anchorId="4F9AE366" wp14:editId="272FC242">
            <wp:extent cx="5342965" cy="2882188"/>
            <wp:effectExtent l="0" t="0" r="0" b="0"/>
            <wp:docPr id="5356781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l="12776" t="8650" b="3950"/>
                    <a:stretch>
                      <a:fillRect/>
                    </a:stretch>
                  </pic:blipFill>
                  <pic:spPr bwMode="auto">
                    <a:xfrm>
                      <a:off x="0" y="0"/>
                      <a:ext cx="5343754" cy="2882614"/>
                    </a:xfrm>
                    <a:prstGeom prst="rect">
                      <a:avLst/>
                    </a:prstGeom>
                    <a:noFill/>
                    <a:ln>
                      <a:noFill/>
                    </a:ln>
                    <a:extLst>
                      <a:ext uri="{53640926-AAD7-44D8-BBD7-CCE9431645EC}">
                        <a14:shadowObscured xmlns:a14="http://schemas.microsoft.com/office/drawing/2010/main"/>
                      </a:ext>
                    </a:extLst>
                  </pic:spPr>
                </pic:pic>
              </a:graphicData>
            </a:graphic>
          </wp:inline>
        </w:drawing>
      </w:r>
    </w:p>
    <w:p w14:paraId="7570E1E2" w14:textId="77777777" w:rsidR="0031052F" w:rsidRPr="00763122" w:rsidRDefault="0031052F" w:rsidP="00763122">
      <w:pPr>
        <w:spacing w:after="160"/>
        <w:jc w:val="both"/>
        <w:rPr>
          <w:rFonts w:ascii="Times New Roman" w:hAnsi="Times New Roman" w:cs="Times New Roman"/>
          <w:lang w:val="es-CL"/>
        </w:rPr>
      </w:pPr>
    </w:p>
    <w:sectPr w:rsidR="0031052F" w:rsidRPr="00763122" w:rsidSect="00034616">
      <w:pgSz w:w="12240" w:h="15840"/>
      <w:pgMar w:top="1152" w:right="1296" w:bottom="1152" w:left="129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onzalo Bustamante" w:date="2026-08-05T15:11:00Z" w:initials="GB">
    <w:p w14:paraId="5AAC2BA9" w14:textId="77777777" w:rsidR="007078C6" w:rsidRDefault="007078C6" w:rsidP="007078C6">
      <w:pPr>
        <w:pStyle w:val="Textocomentario"/>
      </w:pPr>
      <w:r>
        <w:rPr>
          <w:rStyle w:val="Refdecomentario"/>
        </w:rPr>
        <w:annotationRef/>
      </w:r>
      <w:r>
        <w:t>enumerar</w:t>
      </w:r>
    </w:p>
  </w:comment>
  <w:comment w:id="1" w:author="Gonzalo Bustamante" w:date="2026-08-06T13:19:00Z" w:initials="GB">
    <w:p w14:paraId="0061A664" w14:textId="77777777" w:rsidR="00754593" w:rsidRDefault="00754593" w:rsidP="00754593">
      <w:pPr>
        <w:pStyle w:val="Textocomentario"/>
      </w:pPr>
      <w:r>
        <w:rPr>
          <w:rStyle w:val="Refdecomentario"/>
        </w:rPr>
        <w:annotationRef/>
      </w:r>
      <w:r>
        <w:t>Esto es marco teórico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AC2BA9" w15:done="0"/>
  <w15:commentEx w15:paraId="0061A6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454756" w16cex:dateUtc="2026-08-05T19:11:00Z"/>
  <w16cex:commentExtensible w16cex:durableId="340B34EB" w16cex:dateUtc="2026-08-06T1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AC2BA9" w16cid:durableId="37454756"/>
  <w16cid:commentId w16cid:paraId="0061A664" w16cid:durableId="340B34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BBE80" w14:textId="77777777" w:rsidR="006F31D5" w:rsidRDefault="006F31D5" w:rsidP="0008623A">
      <w:pPr>
        <w:spacing w:after="0" w:line="240" w:lineRule="auto"/>
      </w:pPr>
      <w:r>
        <w:separator/>
      </w:r>
    </w:p>
  </w:endnote>
  <w:endnote w:type="continuationSeparator" w:id="0">
    <w:p w14:paraId="6A87D117" w14:textId="77777777" w:rsidR="006F31D5" w:rsidRDefault="006F31D5" w:rsidP="0008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95687" w14:textId="77777777" w:rsidR="006F31D5" w:rsidRDefault="006F31D5" w:rsidP="0008623A">
      <w:pPr>
        <w:spacing w:after="0" w:line="240" w:lineRule="auto"/>
      </w:pPr>
      <w:r>
        <w:separator/>
      </w:r>
    </w:p>
  </w:footnote>
  <w:footnote w:type="continuationSeparator" w:id="0">
    <w:p w14:paraId="2E92AB99" w14:textId="77777777" w:rsidR="006F31D5" w:rsidRDefault="006F31D5" w:rsidP="0008623A">
      <w:pPr>
        <w:spacing w:after="0" w:line="240" w:lineRule="auto"/>
      </w:pPr>
      <w:r>
        <w:continuationSeparator/>
      </w:r>
    </w:p>
  </w:footnote>
  <w:footnote w:id="1">
    <w:p w14:paraId="6F7BB084" w14:textId="53931043" w:rsidR="00754593" w:rsidRPr="00754593" w:rsidRDefault="00754593" w:rsidP="00754593">
      <w:pPr>
        <w:pStyle w:val="Textonotapie"/>
        <w:jc w:val="both"/>
        <w:rPr>
          <w:lang w:val="es-CL"/>
        </w:rPr>
      </w:pPr>
      <w:r>
        <w:rPr>
          <w:rStyle w:val="Refdenotaalpie"/>
        </w:rPr>
        <w:footnoteRef/>
      </w:r>
      <w:r w:rsidRPr="00754593">
        <w:rPr>
          <w:lang w:val="es-CL"/>
        </w:rPr>
        <w:t xml:space="preserve"> </w:t>
      </w:r>
      <w:r w:rsidRPr="00EC5272">
        <w:rPr>
          <w:sz w:val="18"/>
          <w:szCs w:val="18"/>
          <w:lang w:val="es-CL"/>
        </w:rPr>
        <w:t>Se menciona efecto por el tipo de análisis, sin embargo, por los motivos que se presentan en este apartado, la presente</w:t>
      </w:r>
      <w:r w:rsidRPr="00EC5272">
        <w:rPr>
          <w:sz w:val="18"/>
          <w:szCs w:val="18"/>
          <w:lang w:val="es-CL"/>
        </w:rPr>
        <w:t xml:space="preserve"> aproximación no permite establecer relaciones causales. </w:t>
      </w:r>
      <w:r w:rsidRPr="00EC5272">
        <w:rPr>
          <w:sz w:val="18"/>
          <w:szCs w:val="18"/>
          <w:lang w:val="es-CL"/>
        </w:rPr>
        <w:t>L</w:t>
      </w:r>
      <w:r w:rsidRPr="00EC5272">
        <w:rPr>
          <w:sz w:val="18"/>
          <w:szCs w:val="18"/>
          <w:lang w:val="es-CL"/>
        </w:rPr>
        <w:t>a separación entre efectos de edad, período y cohorte descansa en supuestos identificadores (por ejemplo, restricciones sobre la linealidad de alguno de los tres componentes) y debe interpretarse como una aproximación descriptiva a los patrones de cambio, no como evidencia causal de sus mecanismos.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1F26D6E"/>
    <w:multiLevelType w:val="multilevel"/>
    <w:tmpl w:val="CA34B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2793495">
    <w:abstractNumId w:val="8"/>
  </w:num>
  <w:num w:numId="2" w16cid:durableId="757555878">
    <w:abstractNumId w:val="6"/>
  </w:num>
  <w:num w:numId="3" w16cid:durableId="196551646">
    <w:abstractNumId w:val="5"/>
  </w:num>
  <w:num w:numId="4" w16cid:durableId="771628941">
    <w:abstractNumId w:val="4"/>
  </w:num>
  <w:num w:numId="5" w16cid:durableId="1780030699">
    <w:abstractNumId w:val="7"/>
  </w:num>
  <w:num w:numId="6" w16cid:durableId="884291256">
    <w:abstractNumId w:val="3"/>
  </w:num>
  <w:num w:numId="7" w16cid:durableId="381293955">
    <w:abstractNumId w:val="2"/>
  </w:num>
  <w:num w:numId="8" w16cid:durableId="726494807">
    <w:abstractNumId w:val="1"/>
  </w:num>
  <w:num w:numId="9" w16cid:durableId="1995377060">
    <w:abstractNumId w:val="0"/>
  </w:num>
  <w:num w:numId="10" w16cid:durableId="187533776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nzalo Bustamante">
    <w15:presenceInfo w15:providerId="Windows Live" w15:userId="167e6088f4a97c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23A"/>
    <w:rsid w:val="000E063F"/>
    <w:rsid w:val="0015074B"/>
    <w:rsid w:val="00216F87"/>
    <w:rsid w:val="002347E2"/>
    <w:rsid w:val="0029639D"/>
    <w:rsid w:val="0031052F"/>
    <w:rsid w:val="00321B76"/>
    <w:rsid w:val="00326F90"/>
    <w:rsid w:val="00364BC6"/>
    <w:rsid w:val="003B51D0"/>
    <w:rsid w:val="004A64E9"/>
    <w:rsid w:val="00527F16"/>
    <w:rsid w:val="0056517E"/>
    <w:rsid w:val="0060648D"/>
    <w:rsid w:val="00651D8D"/>
    <w:rsid w:val="006F31D5"/>
    <w:rsid w:val="007078C6"/>
    <w:rsid w:val="0072209E"/>
    <w:rsid w:val="00754593"/>
    <w:rsid w:val="00763122"/>
    <w:rsid w:val="007878AF"/>
    <w:rsid w:val="0083135A"/>
    <w:rsid w:val="008E53D2"/>
    <w:rsid w:val="00A15AEA"/>
    <w:rsid w:val="00AA1D8D"/>
    <w:rsid w:val="00B47730"/>
    <w:rsid w:val="00B808A5"/>
    <w:rsid w:val="00BE2D50"/>
    <w:rsid w:val="00BE74CE"/>
    <w:rsid w:val="00C21F1B"/>
    <w:rsid w:val="00C3479D"/>
    <w:rsid w:val="00C34A4E"/>
    <w:rsid w:val="00CB0664"/>
    <w:rsid w:val="00CC1DA6"/>
    <w:rsid w:val="00D2328B"/>
    <w:rsid w:val="00DB753A"/>
    <w:rsid w:val="00E756B2"/>
    <w:rsid w:val="00EB7187"/>
    <w:rsid w:val="00EC5272"/>
    <w:rsid w:val="00EF78B0"/>
    <w:rsid w:val="00F27A8A"/>
    <w:rsid w:val="00F62EE8"/>
    <w:rsid w:val="00FA0569"/>
    <w:rsid w:val="00FA149A"/>
    <w:rsid w:val="00FC693F"/>
    <w:rsid w:val="00FD37D8"/>
    <w:rsid w:val="00FE04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A87AD"/>
  <w14:defaultImageDpi w14:val="300"/>
  <w15:docId w15:val="{DA956F42-D7A4-4EED-8FAD-059394D22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122"/>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7078C6"/>
    <w:rPr>
      <w:sz w:val="16"/>
      <w:szCs w:val="16"/>
    </w:rPr>
  </w:style>
  <w:style w:type="paragraph" w:styleId="Textocomentario">
    <w:name w:val="annotation text"/>
    <w:basedOn w:val="Normal"/>
    <w:link w:val="TextocomentarioCar"/>
    <w:uiPriority w:val="99"/>
    <w:unhideWhenUsed/>
    <w:rsid w:val="007078C6"/>
    <w:pPr>
      <w:spacing w:line="240" w:lineRule="auto"/>
    </w:pPr>
    <w:rPr>
      <w:sz w:val="20"/>
      <w:szCs w:val="20"/>
    </w:rPr>
  </w:style>
  <w:style w:type="character" w:customStyle="1" w:styleId="TextocomentarioCar">
    <w:name w:val="Texto comentario Car"/>
    <w:basedOn w:val="Fuentedeprrafopredeter"/>
    <w:link w:val="Textocomentario"/>
    <w:uiPriority w:val="99"/>
    <w:rsid w:val="007078C6"/>
    <w:rPr>
      <w:rFonts w:ascii="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7078C6"/>
    <w:rPr>
      <w:b/>
      <w:bCs/>
    </w:rPr>
  </w:style>
  <w:style w:type="character" w:customStyle="1" w:styleId="AsuntodelcomentarioCar">
    <w:name w:val="Asunto del comentario Car"/>
    <w:basedOn w:val="TextocomentarioCar"/>
    <w:link w:val="Asuntodelcomentario"/>
    <w:uiPriority w:val="99"/>
    <w:semiHidden/>
    <w:rsid w:val="007078C6"/>
    <w:rPr>
      <w:rFonts w:ascii="Calibri" w:hAnsi="Calibri"/>
      <w:b/>
      <w:bCs/>
      <w:sz w:val="20"/>
      <w:szCs w:val="20"/>
    </w:rPr>
  </w:style>
  <w:style w:type="character" w:styleId="Hipervnculo">
    <w:name w:val="Hyperlink"/>
    <w:basedOn w:val="Fuentedeprrafopredeter"/>
    <w:uiPriority w:val="99"/>
    <w:unhideWhenUsed/>
    <w:rsid w:val="007078C6"/>
    <w:rPr>
      <w:color w:val="0000FF" w:themeColor="hyperlink"/>
      <w:u w:val="single"/>
    </w:rPr>
  </w:style>
  <w:style w:type="character" w:styleId="Mencinsinresolver">
    <w:name w:val="Unresolved Mention"/>
    <w:basedOn w:val="Fuentedeprrafopredeter"/>
    <w:uiPriority w:val="99"/>
    <w:semiHidden/>
    <w:unhideWhenUsed/>
    <w:rsid w:val="007078C6"/>
    <w:rPr>
      <w:color w:val="605E5C"/>
      <w:shd w:val="clear" w:color="auto" w:fill="E1DFDD"/>
    </w:rPr>
  </w:style>
  <w:style w:type="paragraph" w:styleId="Textonotapie">
    <w:name w:val="footnote text"/>
    <w:basedOn w:val="Normal"/>
    <w:link w:val="TextonotapieCar"/>
    <w:uiPriority w:val="99"/>
    <w:semiHidden/>
    <w:unhideWhenUsed/>
    <w:rsid w:val="0008623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8623A"/>
    <w:rPr>
      <w:rFonts w:ascii="Calibri" w:hAnsi="Calibri"/>
      <w:sz w:val="20"/>
      <w:szCs w:val="20"/>
    </w:rPr>
  </w:style>
  <w:style w:type="character" w:styleId="Refdenotaalpie">
    <w:name w:val="footnote reference"/>
    <w:basedOn w:val="Fuentedeprrafopredeter"/>
    <w:uiPriority w:val="99"/>
    <w:semiHidden/>
    <w:unhideWhenUsed/>
    <w:rsid w:val="000862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osinvestigacion.repositorio.uc.cl/dataverse/DIUC?q=encuesta%20bicentenari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832</TotalTime>
  <Pages>1</Pages>
  <Words>2159</Words>
  <Characters>11879</Characters>
  <Application>Microsoft Office Word</Application>
  <DocSecurity>0</DocSecurity>
  <Lines>98</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Gonzalo Bustamante</cp:lastModifiedBy>
  <cp:revision>9</cp:revision>
  <dcterms:created xsi:type="dcterms:W3CDTF">2026-08-05T19:03:00Z</dcterms:created>
  <dcterms:modified xsi:type="dcterms:W3CDTF">2026-08-07T03:05:00Z</dcterms:modified>
  <cp:category/>
</cp:coreProperties>
</file>