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2026-03-qevlar-ai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Autonomous SOC and AI-driven alert investigation</w:t>
            </w:r>
          </w:p>
        </w:tc>
      </w:tr>
    </w:tbl>
    <w:p>
      <w:pPr>
        <w:pStyle w:val="Heading1"/>
      </w:pPr>
      <w:r>
        <w:t>Full Note Paragraph 1</w:t>
      </w:r>
    </w:p>
    <w:p>
      <w:r>
        <w:t>Qevlar AI focuses on Autonomous SOC and AI-driven alert investigation.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