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136A" w:rsidRDefault="006F71AA">
      <w:pPr>
        <w:pStyle w:val="DocTitle"/>
        <w:jc w:val="center"/>
        <w:rPr>
          <w:rFonts w:hint="eastAsia"/>
        </w:rPr>
      </w:pPr>
      <w:r>
        <w:t>Weekly Research Watch Template</w:t>
      </w:r>
    </w:p>
    <w:p w:rsidR="001F136A" w:rsidRPr="006F71AA" w:rsidRDefault="006F71AA" w:rsidP="006F71AA">
      <w:pPr>
        <w:jc w:val="center"/>
        <w:rPr>
          <w:b/>
          <w:i/>
          <w:color w:val="475569"/>
          <w:sz w:val="21"/>
        </w:rPr>
      </w:pPr>
      <w:r w:rsidRPr="006F71AA">
        <w:rPr>
          <w:b/>
          <w:i/>
          <w:color w:val="475569"/>
          <w:sz w:val="21"/>
        </w:rPr>
        <w:t xml:space="preserve">Fill this DOCX, save it </w:t>
      </w:r>
      <w:r w:rsidR="00A77909">
        <w:rPr>
          <w:b/>
          <w:i/>
          <w:color w:val="475569"/>
          <w:sz w:val="21"/>
        </w:rPr>
        <w:t xml:space="preserve">with today’s date and file name </w:t>
      </w:r>
      <w:r w:rsidRPr="006F71AA">
        <w:rPr>
          <w:b/>
          <w:i/>
          <w:color w:val="475569"/>
          <w:sz w:val="21"/>
        </w:rPr>
        <w:t>in YYYY-MM-&lt;proper-small-name&gt;.docx</w:t>
      </w:r>
      <w:r w:rsidR="00A77909">
        <w:rPr>
          <w:b/>
          <w:i/>
          <w:color w:val="475569"/>
          <w:sz w:val="21"/>
        </w:rPr>
        <w:t xml:space="preserve"> format</w:t>
      </w:r>
      <w:bookmarkStart w:id="0" w:name="_GoBack"/>
      <w:bookmarkEnd w:id="0"/>
      <w:r>
        <w:rPr>
          <w:b/>
          <w:i/>
          <w:color w:val="475569"/>
          <w:sz w:val="21"/>
        </w:rPr>
        <w:t xml:space="preserve">, </w:t>
      </w:r>
      <w:r>
        <w:rPr>
          <w:i/>
          <w:color w:val="475569"/>
          <w:sz w:val="21"/>
        </w:rPr>
        <w:t xml:space="preserve">then I will use the </w:t>
      </w:r>
      <w:proofErr w:type="spellStart"/>
      <w:r>
        <w:rPr>
          <w:i/>
          <w:color w:val="475569"/>
          <w:sz w:val="21"/>
        </w:rPr>
        <w:t>Jupyter</w:t>
      </w:r>
      <w:proofErr w:type="spellEnd"/>
      <w:r>
        <w:rPr>
          <w:i/>
          <w:color w:val="475569"/>
          <w:sz w:val="21"/>
        </w:rPr>
        <w:t xml:space="preserve"> notebook to update ongoing-work.html automatically.</w:t>
      </w:r>
    </w:p>
    <w:p w:rsidR="001F136A" w:rsidRDefault="006F71AA">
      <w:pPr>
        <w:shd w:val="clear" w:color="auto" w:fill="F8FAFC"/>
      </w:pPr>
      <w:r>
        <w:rPr>
          <w:b/>
          <w:sz w:val="21"/>
        </w:rPr>
        <w:t>Important: Keep the section headings and metadata labels unchanged. Only replace the values and paragraph text.</w:t>
      </w:r>
    </w:p>
    <w:p w:rsidR="001F136A" w:rsidRDefault="001F136A"/>
    <w:p w:rsidR="001F136A" w:rsidRDefault="006F71AA">
      <w:pPr>
        <w:pStyle w:val="SectionHeading"/>
        <w:rPr>
          <w:rFonts w:hint="eastAsia"/>
        </w:rPr>
      </w:pPr>
      <w:r>
        <w:t>Metadata</w:t>
      </w:r>
    </w:p>
    <w:tbl>
      <w:tblPr>
        <w:tblStyle w:val="TableGrid"/>
        <w:tblW w:w="0" w:type="auto"/>
        <w:tblLook w:val="04A0" w:firstRow="1" w:lastRow="0" w:firstColumn="1" w:lastColumn="0" w:noHBand="0" w:noVBand="1"/>
      </w:tblPr>
      <w:tblGrid>
        <w:gridCol w:w="5040"/>
        <w:gridCol w:w="5040"/>
      </w:tblGrid>
      <w:tr w:rsidR="001F136A">
        <w:tc>
          <w:tcPr>
            <w:tcW w:w="5040" w:type="dxa"/>
          </w:tcPr>
          <w:p w:rsidR="001F136A" w:rsidRDefault="006F71AA">
            <w:r>
              <w:rPr>
                <w:b/>
                <w:sz w:val="21"/>
              </w:rPr>
              <w:t>Field</w:t>
            </w:r>
          </w:p>
        </w:tc>
        <w:tc>
          <w:tcPr>
            <w:tcW w:w="5040" w:type="dxa"/>
          </w:tcPr>
          <w:p w:rsidR="001F136A" w:rsidRDefault="006F71AA">
            <w:r>
              <w:rPr>
                <w:b/>
                <w:sz w:val="21"/>
              </w:rPr>
              <w:t>Value</w:t>
            </w:r>
          </w:p>
        </w:tc>
      </w:tr>
      <w:tr w:rsidR="001F136A">
        <w:tc>
          <w:tcPr>
            <w:tcW w:w="5040" w:type="dxa"/>
          </w:tcPr>
          <w:p w:rsidR="001F136A" w:rsidRDefault="006F71AA">
            <w:r>
              <w:t>Post ID</w:t>
            </w:r>
          </w:p>
        </w:tc>
        <w:tc>
          <w:tcPr>
            <w:tcW w:w="5040" w:type="dxa"/>
          </w:tcPr>
          <w:p w:rsidR="001F136A" w:rsidRDefault="006F71AA">
            <w:r>
              <w:t>2026-03-belfort-encrypted-compute</w:t>
            </w:r>
          </w:p>
        </w:tc>
      </w:tr>
      <w:tr w:rsidR="001F136A">
        <w:tc>
          <w:tcPr>
            <w:tcW w:w="5040" w:type="dxa"/>
          </w:tcPr>
          <w:p w:rsidR="001F136A" w:rsidRDefault="006F71AA">
            <w:r>
              <w:t>Meta Line</w:t>
            </w:r>
          </w:p>
        </w:tc>
        <w:tc>
          <w:tcPr>
            <w:tcW w:w="5040" w:type="dxa"/>
          </w:tcPr>
          <w:p w:rsidR="001F136A" w:rsidRDefault="006F71AA">
            <w:r>
              <w:t>Research Watch • Belfort • 2026 encrypted compute signal</w:t>
            </w:r>
          </w:p>
        </w:tc>
      </w:tr>
      <w:tr w:rsidR="001F136A">
        <w:tc>
          <w:tcPr>
            <w:tcW w:w="5040" w:type="dxa"/>
          </w:tcPr>
          <w:p w:rsidR="001F136A" w:rsidRDefault="006F71AA">
            <w:r>
              <w:t>Title</w:t>
            </w:r>
          </w:p>
        </w:tc>
        <w:tc>
          <w:tcPr>
            <w:tcW w:w="5040" w:type="dxa"/>
          </w:tcPr>
          <w:p w:rsidR="001F136A" w:rsidRDefault="006F71AA">
            <w:r>
              <w:t>Belfort shows encrypted compute is becoming real infrastructure</w:t>
            </w:r>
          </w:p>
        </w:tc>
      </w:tr>
      <w:tr w:rsidR="001F136A">
        <w:tc>
          <w:tcPr>
            <w:tcW w:w="5040" w:type="dxa"/>
          </w:tcPr>
          <w:p w:rsidR="001F136A" w:rsidRDefault="006F71AA">
            <w:r>
              <w:t>Preview</w:t>
            </w:r>
          </w:p>
        </w:tc>
        <w:tc>
          <w:tcPr>
            <w:tcW w:w="5040" w:type="dxa"/>
          </w:tcPr>
          <w:p w:rsidR="001F136A" w:rsidRDefault="006F71AA">
            <w:r>
              <w:t>Belfort is pushing fully homomorphic encryption beyond theory with compiler-friendly software, workload-specific optimization, and dedicated acceleration. The bigger signal is a new infrastructure layer for AI on sensitive data without decryption.</w:t>
            </w:r>
          </w:p>
        </w:tc>
      </w:tr>
      <w:tr w:rsidR="001F136A">
        <w:tc>
          <w:tcPr>
            <w:tcW w:w="5040" w:type="dxa"/>
          </w:tcPr>
          <w:p w:rsidR="001F136A" w:rsidRDefault="006F71AA">
            <w:r>
              <w:t>Full Post Link (optional)</w:t>
            </w:r>
          </w:p>
        </w:tc>
        <w:tc>
          <w:tcPr>
            <w:tcW w:w="5040" w:type="dxa"/>
          </w:tcPr>
          <w:p w:rsidR="001F136A" w:rsidRDefault="006F71AA">
            <w:r>
              <w:t>posts/2026-03-belfort-encrypted-compute.html</w:t>
            </w:r>
          </w:p>
        </w:tc>
      </w:tr>
      <w:tr w:rsidR="001F136A">
        <w:tc>
          <w:tcPr>
            <w:tcW w:w="5040" w:type="dxa"/>
          </w:tcPr>
          <w:p w:rsidR="001F136A" w:rsidRDefault="006F71AA">
            <w:r>
              <w:t>Related Static Page (optional)</w:t>
            </w:r>
          </w:p>
        </w:tc>
        <w:tc>
          <w:tcPr>
            <w:tcW w:w="5040" w:type="dxa"/>
          </w:tcPr>
          <w:p w:rsidR="001F136A" w:rsidRDefault="006F71AA">
            <w:r/>
          </w:p>
        </w:tc>
      </w:tr>
      <w:tr w:rsidR="001F136A">
        <w:tc>
          <w:tcPr>
            <w:tcW w:w="5040" w:type="dxa"/>
          </w:tcPr>
          <w:p w:rsidR="001F136A" w:rsidRDefault="006F71AA">
            <w:r>
              <w:t>Related Static Page Label (optional)</w:t>
            </w:r>
          </w:p>
        </w:tc>
        <w:tc>
          <w:tcPr>
            <w:tcW w:w="5040" w:type="dxa"/>
          </w:tcPr>
          <w:p w:rsidR="001F136A" w:rsidRDefault="006F71AA">
            <w:r/>
          </w:p>
        </w:tc>
      </w:tr>
      <w:tr w:rsidR="001F136A">
        <w:tc>
          <w:tcPr>
            <w:tcW w:w="5040" w:type="dxa"/>
          </w:tcPr>
          <w:p w:rsidR="001F136A" w:rsidRDefault="006F71AA">
            <w:r>
              <w:t>External Link 1 URL (optional)</w:t>
            </w:r>
          </w:p>
        </w:tc>
        <w:tc>
          <w:tcPr>
            <w:tcW w:w="5040" w:type="dxa"/>
          </w:tcPr>
          <w:p w:rsidR="001F136A" w:rsidRDefault="006F71AA">
            <w:r>
              <w:t>https://belfortlabs.com/</w:t>
            </w:r>
          </w:p>
        </w:tc>
      </w:tr>
      <w:tr w:rsidR="001F136A">
        <w:tc>
          <w:tcPr>
            <w:tcW w:w="5040" w:type="dxa"/>
          </w:tcPr>
          <w:p w:rsidR="001F136A" w:rsidRDefault="006F71AA">
            <w:r>
              <w:t>External Link 1 Label (optional)</w:t>
            </w:r>
          </w:p>
        </w:tc>
        <w:tc>
          <w:tcPr>
            <w:tcW w:w="5040" w:type="dxa"/>
          </w:tcPr>
          <w:p w:rsidR="001F136A" w:rsidRDefault="006F71AA">
            <w:r>
              <w:t>Belfort</w:t>
            </w:r>
          </w:p>
        </w:tc>
      </w:tr>
      <w:tr w:rsidR="001F136A">
        <w:tc>
          <w:tcPr>
            <w:tcW w:w="5040" w:type="dxa"/>
          </w:tcPr>
          <w:p w:rsidR="001F136A" w:rsidRDefault="006F71AA">
            <w:r>
              <w:t>External Link 2 URL (optional)</w:t>
            </w:r>
          </w:p>
        </w:tc>
        <w:tc>
          <w:tcPr>
            <w:tcW w:w="5040" w:type="dxa"/>
          </w:tcPr>
          <w:p w:rsidR="001F136A" w:rsidRDefault="006F71AA">
            <w:r>
              <w:t>https://belfortlabs.com/blog/google-partnership</w:t>
            </w:r>
          </w:p>
        </w:tc>
      </w:tr>
      <w:tr w:rsidR="001F136A">
        <w:tc>
          <w:tcPr>
            <w:tcW w:w="5040" w:type="dxa"/>
          </w:tcPr>
          <w:p w:rsidR="001F136A" w:rsidRDefault="006F71AA">
            <w:r>
              <w:t>External Link 2 Label (optional)</w:t>
            </w:r>
          </w:p>
        </w:tc>
        <w:tc>
          <w:tcPr>
            <w:tcW w:w="5040" w:type="dxa"/>
          </w:tcPr>
          <w:p w:rsidR="001F136A" w:rsidRDefault="006F71AA">
            <w:r>
              <w:t>Google partnership</w:t>
            </w:r>
          </w:p>
        </w:tc>
      </w:tr>
    </w:tbl>
    <w:p w:rsidR="001F136A" w:rsidRDefault="001F136A"/>
    <w:p w:rsidR="001F136A" w:rsidRDefault="006F71AA">
      <w:pPr>
        <w:pStyle w:val="SectionHeading"/>
        <w:rPr>
          <w:rFonts w:hint="eastAsia"/>
        </w:rPr>
      </w:pPr>
      <w:r>
        <w:t>Full Note Paragraph 1</w:t>
      </w:r>
    </w:p>
    <w:p w:rsidR="001F136A" w:rsidRDefault="006F71AA">
      <w:pPr>
        <w:spacing w:after="120"/>
      </w:pPr>
      <w:r>
        <w:t>Belfort is an important signal because it reframes privacy-preserving computation as deployable infrastructure rather than as a niche cryptography demo. The company is building an encrypted compute stack around fully homomorphic encryption (FHE), so sensitive data can be processed without ever being decrypted, and it is positioning that stack for finance, healthcare, government, and blockchain workloads. What matters for AI security is that the protection target is shifting from only data-at-rest or data-in-transit toward data-in-use, especially as AI systems and agents increasingly operate over sensitive enterprise information.</w:t>
      </w:r>
    </w:p>
    <w:p w:rsidR="001F136A" w:rsidRDefault="006F71AA">
      <w:pPr>
        <w:pStyle w:val="SectionHeading"/>
        <w:rPr>
          <w:rFonts w:hint="eastAsia"/>
        </w:rPr>
      </w:pPr>
      <w:r>
        <w:t>Full Note Paragraph 2</w:t>
      </w:r>
    </w:p>
    <w:p w:rsidR="001F136A" w:rsidRDefault="006F71AA">
      <w:pPr>
        <w:spacing w:after="120"/>
      </w:pPr>
      <w:r>
        <w:t>The deeper technical signal is Belfort’s emphasis on full-stack co-design: algorithm choice, FHE-friendly program transformations, compiler integration, and dedicated acceleration hardware. Recent milestones, including integration with Google’s HEIR ecosystem, the Velox TFHE accelerator, and a Swift case study that reduced encrypted sanctions screening from minutes to sub-second latency, suggest that FHE evaluation is moving from toy kernels to end-to-end workload viability. The key question is no longer whether encrypted compute is elegant in theory, but whether the stack delivers realistic latency, integration effort, and operational trust boundaries at deployment scale.</w:t>
      </w:r>
    </w:p>
    <w:p w:rsidR="001F136A" w:rsidRDefault="006F71AA">
      <w:pPr>
        <w:pStyle w:val="SectionHeading"/>
        <w:rPr>
          <w:rFonts w:hint="eastAsia"/>
        </w:rPr>
      </w:pPr>
      <w:r>
        <w:t>What Is Changing Technically</w:t>
      </w:r>
    </w:p>
    <w:p w:rsidR="001F136A" w:rsidRDefault="006F71AA">
      <w:pPr>
        <w:pStyle w:val="ListBullet"/>
      </w:pPr>
      <w:r>
        <w:t>Encrypted compute is now being packaged as a full stack: compiler and toolchain support, workload-aware algorithms, and dedicated acceleration rather than stand-alone cryptographic primitives.</w:t>
      </w:r>
    </w:p>
    <w:p w:rsidR="001F136A" w:rsidRDefault="006F71AA">
      <w:pPr>
        <w:pStyle w:val="ListBullet"/>
      </w:pPr>
      <w:r>
        <w:t>The central challenge is shifting from raw feasibility to workload mapping: which operators, data representations, and application flows are efficient enough under FHE to meet production latency.</w:t>
      </w:r>
    </w:p>
    <w:p w:rsidR="001F136A" w:rsidRDefault="006F71AA">
      <w:pPr>
        <w:pStyle w:val="ListBullet"/>
      </w:pPr>
      <w:r>
        <w:t>For AI security, this matters because protecting data in use becomes an architectural design choice, not just a policy or enclave configuration decision.</w:t>
      </w:r>
    </w:p>
    <w:p w:rsidR="001F136A" w:rsidRDefault="006F71AA">
      <w:pPr>
        <w:pStyle w:val="ListBullet"/>
      </w:pPr>
      <w:r>
        <w:t>Deployment will depend on integration with existing frameworks, cloud and on-prem delivery, and benchmark evidence on real workloads rather than isolated micro-kernel wins.</w:t>
      </w:r>
    </w:p>
    <w:p w:rsidR="001F136A" w:rsidRDefault="006F71AA">
      <w:pPr>
        <w:pStyle w:val="SectionHeading"/>
        <w:rPr>
          <w:rFonts w:hint="eastAsia"/>
        </w:rPr>
      </w:pPr>
      <w:r>
        <w:t>What Reviewers Should Notice</w:t>
      </w:r>
    </w:p>
    <w:p w:rsidR="001F136A" w:rsidRDefault="006F71AA">
      <w:pPr>
        <w:pStyle w:val="ListBullet"/>
      </w:pPr>
      <w:r>
        <w:t>Whether the company’s showcase workloads reflect genuine production bottlenecks or only carefully selected FHE-friendly cases.</w:t>
      </w:r>
    </w:p>
    <w:p w:rsidR="001F136A" w:rsidRDefault="006F71AA">
      <w:pPr>
        <w:pStyle w:val="ListBullet"/>
      </w:pPr>
      <w:r>
        <w:t>Whether latency, throughput, memory pressure, and integration overhead are measured end to end.</w:t>
      </w:r>
    </w:p>
    <w:p w:rsidR="001F136A" w:rsidRDefault="006F71AA">
      <w:pPr>
        <w:pStyle w:val="ListBullet"/>
      </w:pPr>
      <w:r>
        <w:t>Whether the trust model clearly distinguishes cryptographic guarantees from residual risks in orchestration, metadata, and surrounding system software.</w:t>
      </w:r>
    </w:p>
    <w:p w:rsidR="001F136A" w:rsidRDefault="006F71AA">
      <w:pPr>
        <w:pStyle w:val="ListBullet"/>
      </w:pPr>
      <w:r>
        <w:t>Whether the approach generalizes beyond one use case such as sanctions screening or confidential token transfer to broader AI inference and analytics.</w:t>
      </w:r>
    </w:p>
    <w:p w:rsidR="001F136A" w:rsidRDefault="006F71AA">
      <w:pPr>
        <w:pStyle w:val="SectionHeading"/>
        <w:rPr>
          <w:rFonts w:hint="eastAsia"/>
        </w:rPr>
      </w:pPr>
      <w:r>
        <w:lastRenderedPageBreak/>
        <w:t>Current Research Tension</w:t>
      </w:r>
    </w:p>
    <w:p w:rsidR="001F136A" w:rsidRDefault="006F71AA">
      <w:pPr>
        <w:spacing w:after="120"/>
      </w:pPr>
      <w:r>
        <w:t>The real unresolved challenge is not proving that encrypted compute works, but making strong privacy guarantees economically normal for mainstream AI workloads.</w:t>
      </w:r>
    </w:p>
    <w:p w:rsidR="001F136A" w:rsidRDefault="001F136A"/>
    <w:p w:rsidR="001F136A" w:rsidRDefault="006F71AA">
      <w:pPr>
        <w:pStyle w:val="SectionHeading"/>
        <w:rPr>
          <w:rFonts w:hint="eastAsia"/>
        </w:rPr>
      </w:pPr>
      <w:r>
        <w:t>How the notebook uses this DOCX</w:t>
      </w:r>
    </w:p>
    <w:p w:rsidR="001F136A" w:rsidRDefault="006F71AA">
      <w:pPr>
        <w:pStyle w:val="ListBullet"/>
      </w:pPr>
      <w:r>
        <w:t>It reads the Metadata table, the two full-note paragraphs, the two bullet lists, and the final tension line.</w:t>
      </w:r>
    </w:p>
    <w:p w:rsidR="001F136A" w:rsidRDefault="006F71AA">
      <w:pPr>
        <w:pStyle w:val="ListBullet"/>
      </w:pPr>
      <w:r>
        <w:t>It inserts a new accordion note at the top of the watch-stack in ongoing-work.html.</w:t>
      </w:r>
    </w:p>
    <w:p w:rsidR="001F136A" w:rsidRDefault="006F71AA">
      <w:pPr>
        <w:pStyle w:val="ListBullet"/>
      </w:pPr>
      <w:r>
        <w:t>If a note with the same Post ID already exists, the notebook replaces it rather than duplicating it.</w:t>
      </w:r>
    </w:p>
    <w:p w:rsidR="001F136A" w:rsidRDefault="006F71AA">
      <w:pPr>
        <w:pStyle w:val="ListBullet"/>
      </w:pPr>
      <w:r>
        <w:t>The notebook writes a new HTML file that you can upload to GitHub.</w:t>
      </w:r>
    </w:p>
    <w:sectPr w:rsidR="001F136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36A"/>
    <w:rsid w:val="0029639D"/>
    <w:rsid w:val="00326F90"/>
    <w:rsid w:val="006F71AA"/>
    <w:rsid w:val="00A779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A898B"/>
  <w14:defaultImageDpi w14:val="300"/>
  <w15:docId w15:val="{8B4E20BB-5C36-4D5D-A057-621F7F18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Inter" w:hAnsi="Inter"/>
      <w:b/>
      <w:color w:val="1A365D"/>
      <w:sz w:val="44"/>
    </w:rPr>
  </w:style>
  <w:style w:type="paragraph" w:customStyle="1" w:styleId="SectionHeading">
    <w:name w:val="SectionHeading"/>
    <w:rPr>
      <w:rFonts w:ascii="Inter" w:hAnsi="Inter"/>
      <w:b/>
      <w:color w:val="2563EB"/>
      <w:sz w:val="26"/>
    </w:rPr>
  </w:style>
  <w:style w:type="paragraph" w:customStyle="1" w:styleId="FieldLabel">
    <w:name w:val="FieldLabel"/>
    <w:rPr>
      <w:rFonts w:ascii="Inter" w:hAnsi="Inter"/>
      <w:b/>
      <w:color w:val="0F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A51C7-5493-455E-8A11-C2EB8F8E0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Brojogopal Sapui</cp:lastModifiedBy>
  <cp:revision>3</cp:revision>
  <dcterms:created xsi:type="dcterms:W3CDTF">2013-12-23T23:15:00Z</dcterms:created>
  <dcterms:modified xsi:type="dcterms:W3CDTF">2026-03-21T15:35:00Z</dcterms:modified>
  <cp:category/>
</cp:coreProperties>
</file>