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Weekly Research Watch Template</w:t>
      </w:r>
    </w:p>
    <w:p>
      <w:r>
        <w:rPr>
          <w:b w:val="0"/>
        </w:rPr>
        <w:t>Fill this DOCX, save it in DD-MM-YYYY-HHMMSS-&lt;proper-small-name&gt;.docx format inside weekly-inputs/, then run the updated batch notebook. The updater parses the filename date and time. The newest DD-MM-YYYY-HHMMSS filename becomes the homepage latest note automatically, even if multiple notes are added on the same day.</w:t>
      </w:r>
      <w:r>
        <w:rPr>
          <w:b/>
        </w:rPr>
      </w:r>
      <w:r>
        <w:rPr>
          <w:b w:val="0"/>
        </w:rPr>
      </w:r>
      <w:r>
        <w:rPr>
          <w:b/>
        </w:rPr>
      </w:r>
      <w:r/>
    </w:p>
    <w:p>
      <w:r>
        <w:rPr>
          <w:b/>
        </w:rPr>
        <w:t xml:space="preserve">Important: </w:t>
      </w:r>
      <w:r>
        <w:t>Keep the metadata labels and section headings unchanged. Only replace the values and paragraph text. The Category field is mandatory.</w:t>
      </w:r>
    </w:p>
    <w:p>
      <w:pPr>
        <w:pStyle w:val="Heading1"/>
      </w:pPr>
      <w:r>
        <w:t>Metadata</w:t>
      </w:r>
    </w:p>
    <w:tbl>
      <w:tblPr>
        <w:tblStyle w:val="TableGrid"/>
        <w:tblW w:type="auto" w:w="0"/>
        <w:jc w:val="center"/>
        <w:tblLook w:firstColumn="1" w:firstRow="1" w:lastColumn="0" w:lastRow="0" w:noHBand="0" w:noVBand="1" w:val="04A0"/>
      </w:tblPr>
      <w:tblGrid>
        <w:gridCol w:w="4824"/>
        <w:gridCol w:w="4824"/>
      </w:tblGrid>
      <w:tr>
        <w:tc>
          <w:tcPr>
            <w:tcW w:type="dxa" w:w="4824"/>
          </w:tcPr>
          <w:p>
            <w:r>
              <w:t>Field</w:t>
            </w:r>
          </w:p>
        </w:tc>
        <w:tc>
          <w:tcPr>
            <w:tcW w:type="dxa" w:w="4824"/>
          </w:tcPr>
          <w:p>
            <w:r>
              <w:t>Value</w:t>
            </w:r>
          </w:p>
        </w:tc>
      </w:tr>
      <w:tr>
        <w:tc>
          <w:tcPr>
            <w:tcW w:type="dxa" w:w="4824"/>
          </w:tcPr>
          <w:p>
            <w:r>
              <w:t>Post ID</w:t>
            </w:r>
          </w:p>
        </w:tc>
        <w:tc>
          <w:tcPr>
            <w:tcW w:type="dxa" w:w="4824"/>
          </w:tcPr>
          <w:p>
            <w:r>
              <w:t>08-04-2026-231102-protectai-ml-security</w:t>
            </w:r>
          </w:p>
        </w:tc>
      </w:tr>
      <w:tr>
        <w:tc>
          <w:tcPr>
            <w:tcW w:type="dxa" w:w="4824"/>
          </w:tcPr>
          <w:p>
            <w:r>
              <w:t>Category</w:t>
            </w:r>
          </w:p>
        </w:tc>
        <w:tc>
          <w:tcPr>
            <w:tcW w:type="dxa" w:w="4824"/>
          </w:tcPr>
          <w:p>
            <w:r>
              <w:t>industry</w:t>
            </w:r>
          </w:p>
        </w:tc>
      </w:tr>
      <w:tr>
        <w:tc>
          <w:tcPr>
            <w:tcW w:type="dxa" w:w="4824"/>
          </w:tcPr>
          <w:p>
            <w:r>
              <w:t>Meta Line</w:t>
            </w:r>
          </w:p>
        </w:tc>
        <w:tc>
          <w:tcPr>
            <w:tcW w:type="dxa" w:w="4824"/>
          </w:tcPr>
          <w:p>
            <w:r>
              <w:t>Research Watch • Protect AI • AI Security Platform Signal</w:t>
            </w:r>
          </w:p>
        </w:tc>
      </w:tr>
      <w:tr>
        <w:tc>
          <w:tcPr>
            <w:tcW w:type="dxa" w:w="4824"/>
          </w:tcPr>
          <w:p>
            <w:r>
              <w:t>Title</w:t>
            </w:r>
          </w:p>
        </w:tc>
        <w:tc>
          <w:tcPr>
            <w:tcW w:type="dxa" w:w="4824"/>
          </w:tcPr>
          <w:p>
            <w:r>
              <w:t>Protect AI and the Rise of End-to-End ML Security Platforms</w:t>
            </w:r>
          </w:p>
        </w:tc>
      </w:tr>
      <w:tr>
        <w:tc>
          <w:tcPr>
            <w:tcW w:type="dxa" w:w="4824"/>
          </w:tcPr>
          <w:p>
            <w:r>
              <w:t>Preview</w:t>
            </w:r>
          </w:p>
        </w:tc>
        <w:tc>
          <w:tcPr>
            <w:tcW w:type="dxa" w:w="4824"/>
          </w:tcPr>
          <w:p>
            <w:r>
              <w:t>Protect AI highlights a shift from isolated model security to full lifecycle ML security. The platform approach reflects growing concerns around model supply chains, runtime threats, and AI-native attack surfaces.</w:t>
            </w:r>
          </w:p>
        </w:tc>
      </w:tr>
      <w:tr>
        <w:tc>
          <w:tcPr>
            <w:tcW w:type="dxa" w:w="4824"/>
          </w:tcPr>
          <w:p>
            <w:r>
              <w:t>Full Post Link (optional)</w:t>
            </w:r>
          </w:p>
        </w:tc>
        <w:tc>
          <w:tcPr>
            <w:tcW w:type="dxa" w:w="4824"/>
          </w:tcPr>
          <w:p>
            <w:r>
              <w:t>08-04-2026-231102-protectai-ml-security</w:t>
            </w:r>
          </w:p>
        </w:tc>
      </w:tr>
      <w:tr>
        <w:tc>
          <w:tcPr>
            <w:tcW w:type="dxa" w:w="4824"/>
          </w:tcPr>
          <w:p>
            <w:r>
              <w:t>Related Static Page (optional)</w:t>
            </w:r>
          </w:p>
        </w:tc>
        <w:tc>
          <w:tcPr>
            <w:tcW w:type="dxa" w:w="4824"/>
          </w:tcPr>
          <w:p>
            <w:r>
              <w:t>ai-security/related-page.html</w:t>
            </w:r>
          </w:p>
        </w:tc>
      </w:tr>
      <w:tr>
        <w:tc>
          <w:tcPr>
            <w:tcW w:type="dxa" w:w="4824"/>
          </w:tcPr>
          <w:p>
            <w:r>
              <w:t>Related Static Page Label (optional)</w:t>
            </w:r>
          </w:p>
        </w:tc>
        <w:tc>
          <w:tcPr>
            <w:tcW w:type="dxa" w:w="4824"/>
          </w:tcPr>
          <w:p>
            <w:r>
              <w:t>Related static page</w:t>
            </w:r>
          </w:p>
        </w:tc>
      </w:tr>
      <w:tr>
        <w:tc>
          <w:tcPr>
            <w:tcW w:type="dxa" w:w="4824"/>
          </w:tcPr>
          <w:p>
            <w:r>
              <w:t>External Link 1 URL (optional)</w:t>
            </w:r>
          </w:p>
        </w:tc>
        <w:tc>
          <w:tcPr>
            <w:tcW w:type="dxa" w:w="4824"/>
          </w:tcPr>
          <w:p>
            <w:r>
              <w:t>https://example.com</w:t>
            </w:r>
          </w:p>
        </w:tc>
      </w:tr>
      <w:tr>
        <w:tc>
          <w:tcPr>
            <w:tcW w:type="dxa" w:w="4824"/>
          </w:tcPr>
          <w:p>
            <w:r>
              <w:t>External Link 1 Label (optional)</w:t>
            </w:r>
          </w:p>
        </w:tc>
        <w:tc>
          <w:tcPr>
            <w:tcW w:type="dxa" w:w="4824"/>
          </w:tcPr>
          <w:p>
            <w:r>
              <w:t>External reference 1</w:t>
            </w:r>
          </w:p>
        </w:tc>
      </w:tr>
      <w:tr>
        <w:tc>
          <w:tcPr>
            <w:tcW w:type="dxa" w:w="4824"/>
          </w:tcPr>
          <w:p>
            <w:r>
              <w:t>External Link 2 URL (optional)</w:t>
            </w:r>
          </w:p>
        </w:tc>
        <w:tc>
          <w:tcPr>
            <w:tcW w:type="dxa" w:w="4824"/>
          </w:tcPr>
          <w:p>
            <w:r>
              <w:t>https://example.com</w:t>
            </w:r>
          </w:p>
        </w:tc>
      </w:tr>
      <w:tr>
        <w:tc>
          <w:tcPr>
            <w:tcW w:type="dxa" w:w="4824"/>
          </w:tcPr>
          <w:p>
            <w:r>
              <w:t>External Link 2 Label (optional)</w:t>
            </w:r>
          </w:p>
        </w:tc>
        <w:tc>
          <w:tcPr>
            <w:tcW w:type="dxa" w:w="4824"/>
          </w:tcPr>
          <w:p>
            <w:r>
              <w:t>External reference 2</w:t>
            </w:r>
          </w:p>
        </w:tc>
      </w:tr>
    </w:tbl>
    <w:p>
      <w:pPr>
        <w:pStyle w:val="IntenseQuote"/>
      </w:pPr>
      <w:r>
        <w:t>industry</w:t>
      </w:r>
    </w:p>
    <w:p>
      <w:pPr>
        <w:pStyle w:val="Heading1"/>
      </w:pPr>
      <w:r>
        <w:t>Full Note Paragraph 1</w:t>
      </w:r>
    </w:p>
    <w:p>
      <w:r>
        <w:t>Protect AI represents a growing class of platforms focused on securing the entire machine learning lifecycle, from data ingestion to model deployment and runtime monitoring. Unlike traditional cybersecurity tools, which focus on infrastructure or network boundaries, this approach treats the ML pipeline itself as a primary attack surface. As AI systems become embedded in critical applications, protecting models, datasets, and inference pipelines is becoming essential.</w:t>
      </w:r>
    </w:p>
    <w:p>
      <w:pPr>
        <w:pStyle w:val="Heading1"/>
      </w:pPr>
      <w:r>
        <w:t>Full Note Paragraph 2</w:t>
      </w:r>
    </w:p>
    <w:p>
      <w:r>
        <w:t>Technically, this reflects a shift toward supply chain-aware security for AI systems. Threat models now include poisoned datasets, malicious pretrained models, model extraction, and runtime manipulation. Traditional validation methods assume static models and trusted pipelines, but modern deployments involve continuous updates, third-party dependencies, and distributed inference environments. This requires integrated tooling for model scanning, dependency tracking, and runtime anomaly detection across heterogeneous hardware and software stacks.</w:t>
      </w:r>
    </w:p>
    <w:p>
      <w:pPr>
        <w:pStyle w:val="Heading1"/>
      </w:pPr>
      <w:r>
        <w:t>What Is Changing Technically</w:t>
      </w:r>
    </w:p>
    <w:p>
      <w:pPr>
        <w:pStyle w:val="ListBullet"/>
      </w:pPr>
      <w:r>
        <w:t>Shift from infrastructure security to ML pipeline security as a first-class concern.</w:t>
      </w:r>
    </w:p>
    <w:p>
      <w:pPr>
        <w:pStyle w:val="ListBullet"/>
      </w:pPr>
      <w:r>
        <w:t>Emergence of model supply chain risks including poisoned data and compromised pretrained models.</w:t>
      </w:r>
    </w:p>
    <w:p>
      <w:pPr>
        <w:pStyle w:val="ListBullet"/>
      </w:pPr>
      <w:r>
        <w:t>AI models themselves become attack surfaces impacting decision integrity and system safety.</w:t>
      </w:r>
    </w:p>
    <w:p>
      <w:pPr>
        <w:pStyle w:val="ListBullet"/>
      </w:pPr>
      <w:r>
        <w:t>Need for integrated platforms combining scanning, monitoring, and policy enforcement across ML workflows.</w:t>
      </w:r>
    </w:p>
    <w:p>
      <w:pPr>
        <w:pStyle w:val="Heading1"/>
      </w:pPr>
      <w:r>
        <w:t>What Reviewers Should Notice</w:t>
      </w:r>
    </w:p>
    <w:p>
      <w:pPr>
        <w:pStyle w:val="ListBullet"/>
      </w:pPr>
      <w:r>
        <w:t>Whether the platform captures realistic ML deployment pipelines including third-party dependencies.</w:t>
      </w:r>
    </w:p>
    <w:p>
      <w:pPr>
        <w:pStyle w:val="ListBullet"/>
      </w:pPr>
      <w:r>
        <w:t>Whether security evaluation considers end-to-end decision integrity, not just model accuracy.</w:t>
      </w:r>
    </w:p>
    <w:p>
      <w:pPr>
        <w:pStyle w:val="ListBullet"/>
      </w:pPr>
      <w:r>
        <w:t>Whether assumptions about trusted data, models, and environments are clearly stated.</w:t>
      </w:r>
    </w:p>
    <w:p>
      <w:pPr>
        <w:pStyle w:val="ListBullet"/>
      </w:pPr>
      <w:r>
        <w:t>Whether the approach scales across real-world production pipelines and heterogeneous systems.</w:t>
      </w:r>
    </w:p>
    <w:p>
      <w:pPr>
        <w:pStyle w:val="Heading1"/>
      </w:pPr>
      <w:r>
        <w:t>Current Research Tension</w:t>
      </w:r>
    </w:p>
    <w:p>
      <w:r>
        <w:t>The core tension lies between rapid AI deployment and maintaining verifiable trust across an increasingly complex and opaque ML supply chain.</w:t>
      </w:r>
    </w:p>
    <w:p>
      <w:pPr>
        <w:pStyle w:val="Heading1"/>
      </w:pPr>
      <w:r>
        <w:t>How the notebook uses this DOCX</w:t>
      </w:r>
    </w:p>
    <w:p>
      <w:pPr>
        <w:pStyle w:val="ListBullet"/>
      </w:pPr>
      <w:r>
        <w:t>It reads the Metadata table, the two full-note paragraphs, the two bullet lists, and the final tension line.</w:t>
      </w:r>
    </w:p>
    <w:p>
      <w:pPr>
        <w:pStyle w:val="ListBullet"/>
      </w:pPr>
      <w:r>
        <w:t>It routes the note into Academic, Industry, or Ecosystem based only on the Category field.</w:t>
      </w:r>
    </w:p>
    <w:p>
      <w:pPr>
        <w:pStyle w:val="ListBullet"/>
      </w:pPr>
      <w:r>
        <w:t>It inserts or replaces the matching note in ongoing-work.html and updates the homepage latest note using the newest parsed filename date-time.</w:t>
      </w:r>
    </w:p>
    <w:p>
      <w:pPr>
        <w:pStyle w:val="ListBullet"/>
      </w:pPr>
      <w:r>
        <w:t>It generates or refreshes posts/&lt;post-id&gt;.html automatically.</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