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t>Weekly Research Watch Input — STACK: Adversarial Attacks on LLM Safeguard Pipelines</w:t>
      </w:r>
    </w:p>
    <w:p>
      <w:pPr>
        <w:jc w:val="center"/>
      </w:pPr>
      <w:r>
        <w:t>This DOCX is filled for the paper “STACK: Adversarial Attacks on LLM Safeguard Pipelines” and is ready to be consumed by the Jupyter notebook workflow.</w:t>
      </w:r>
    </w:p>
    <w:p>
      <w:pPr>
        <w:shd w:fill="F8FAFC"/>
      </w:pPr>
      <w:r>
        <w:t>All section headings and metadata labels are preserved so the notebook can parse this file directly.</w:t>
      </w:r>
    </w:p>
    <w:p/>
    <w:p>
      <w:pPr>
        <w:pStyle w:val="SectionHeading"/>
      </w:pPr>
      <w:r>
        <w:t>Metadata</w:t>
      </w:r>
    </w:p>
    <w:tbl>
      <w:tblPr>
        <w:tblStyle w:val="TableGrid"/>
        <w:tblW w:type="auto" w:w="0"/>
        <w:tblLook w:firstColumn="1" w:firstRow="1" w:lastColumn="0" w:lastRow="0" w:noHBand="0" w:noVBand="1" w:val="04A0"/>
      </w:tblPr>
      <w:tblGrid>
        <w:gridCol w:w="5040"/>
        <w:gridCol w:w="5040"/>
      </w:tblGrid>
      <w:tr>
        <w:tc>
          <w:tcPr>
            <w:tcW w:type="dxa" w:w="5040"/>
          </w:tcPr>
          <w:p>
            <w:r>
              <w:rPr>
                <w:b/>
                <w:sz w:val="21"/>
              </w:rPr>
              <w:t>Field</w:t>
            </w:r>
          </w:p>
        </w:tc>
        <w:tc>
          <w:tcPr>
            <w:tcW w:type="dxa" w:w="5040"/>
          </w:tcPr>
          <w:p>
            <w:r>
              <w:rPr>
                <w:b/>
                <w:sz w:val="21"/>
              </w:rPr>
              <w:t>Value</w:t>
            </w:r>
          </w:p>
        </w:tc>
      </w:tr>
      <w:tr>
        <w:tc>
          <w:tcPr>
            <w:tcW w:type="dxa" w:w="5040"/>
          </w:tcPr>
          <w:p>
            <w:r>
              <w:t>Post ID</w:t>
            </w:r>
          </w:p>
        </w:tc>
        <w:tc>
          <w:tcPr>
            <w:tcW w:type="dxa" w:w="5040"/>
          </w:tcPr>
          <w:p>
            <w:r>
              <w:t>2026-03-stack-safeguard-pipelines</w:t>
            </w:r>
          </w:p>
        </w:tc>
      </w:tr>
      <w:tr>
        <w:tc>
          <w:tcPr>
            <w:tcW w:type="dxa" w:w="5040"/>
          </w:tcPr>
          <w:p>
            <w:r>
              <w:t>Meta Line</w:t>
            </w:r>
          </w:p>
        </w:tc>
        <w:tc>
          <w:tcPr>
            <w:tcW w:type="dxa" w:w="5040"/>
          </w:tcPr>
          <w:p>
            <w:r>
              <w:t>Research Watch • LLM Safeguards • 2025–2026 signal</w:t>
            </w:r>
          </w:p>
        </w:tc>
      </w:tr>
      <w:tr>
        <w:tc>
          <w:tcPr>
            <w:tcW w:type="dxa" w:w="5040"/>
          </w:tcPr>
          <w:p>
            <w:r>
              <w:t>Title</w:t>
            </w:r>
          </w:p>
        </w:tc>
        <w:tc>
          <w:tcPr>
            <w:tcW w:type="dxa" w:w="5040"/>
          </w:tcPr>
          <w:p>
            <w:r>
              <w:t>STACK shows why layered LLM safeguards still need adaptive pipeline-level evaluation</w:t>
            </w:r>
          </w:p>
        </w:tc>
      </w:tr>
      <w:tr>
        <w:tc>
          <w:tcPr>
            <w:tcW w:type="dxa" w:w="5040"/>
          </w:tcPr>
          <w:p>
            <w:r>
              <w:t>Preview</w:t>
            </w:r>
          </w:p>
        </w:tc>
        <w:tc>
          <w:tcPr>
            <w:tcW w:type="dxa" w:w="5040"/>
          </w:tcPr>
          <w:p>
            <w:r>
              <w:t>This paper matters because it shifts evaluation from single jailbreak-resistant models to full safeguard pipelines. It shows that layered input/output classifier defenses can look strong under standard testing, yet still fail badly once the attacker is optimized against the pipeline as a system.</w:t>
            </w:r>
          </w:p>
        </w:tc>
      </w:tr>
      <w:tr>
        <w:tc>
          <w:tcPr>
            <w:tcW w:type="dxa" w:w="5040"/>
          </w:tcPr>
          <w:p>
            <w:r>
              <w:t>Full Post Link (optional)</w:t>
            </w:r>
          </w:p>
        </w:tc>
        <w:tc>
          <w:tcPr>
            <w:tcW w:type="dxa" w:w="5040"/>
          </w:tcPr>
          <w:p>
            <w:r/>
          </w:p>
        </w:tc>
      </w:tr>
      <w:tr>
        <w:tc>
          <w:tcPr>
            <w:tcW w:type="dxa" w:w="5040"/>
          </w:tcPr>
          <w:p>
            <w:r>
              <w:t>Related Static Page (optional)</w:t>
            </w:r>
          </w:p>
        </w:tc>
        <w:tc>
          <w:tcPr>
            <w:tcW w:type="dxa" w:w="5040"/>
          </w:tcPr>
          <w:p>
            <w:r>
              <w:t>ai-security/generative-ai.html</w:t>
            </w:r>
          </w:p>
        </w:tc>
      </w:tr>
      <w:tr>
        <w:tc>
          <w:tcPr>
            <w:tcW w:type="dxa" w:w="5040"/>
          </w:tcPr>
          <w:p>
            <w:r>
              <w:t>Related Static Page Label (optional)</w:t>
            </w:r>
          </w:p>
        </w:tc>
        <w:tc>
          <w:tcPr>
            <w:tcW w:type="dxa" w:w="5040"/>
          </w:tcPr>
          <w:p>
            <w:r>
              <w:t>See full generative AI page</w:t>
            </w:r>
          </w:p>
        </w:tc>
      </w:tr>
      <w:tr>
        <w:tc>
          <w:tcPr>
            <w:tcW w:type="dxa" w:w="5040"/>
          </w:tcPr>
          <w:p>
            <w:r>
              <w:t>External Link 1 URL (optional)</w:t>
            </w:r>
          </w:p>
        </w:tc>
        <w:tc>
          <w:tcPr>
            <w:tcW w:type="dxa" w:w="5040"/>
          </w:tcPr>
          <w:p>
            <w:r>
              <w:t>https://arxiv.org/pdf/2506.24068</w:t>
            </w:r>
          </w:p>
        </w:tc>
      </w:tr>
      <w:tr>
        <w:tc>
          <w:tcPr>
            <w:tcW w:type="dxa" w:w="5040"/>
          </w:tcPr>
          <w:p>
            <w:r>
              <w:t>External Link 1 Label (optional)</w:t>
            </w:r>
          </w:p>
        </w:tc>
        <w:tc>
          <w:tcPr>
            <w:tcW w:type="dxa" w:w="5040"/>
          </w:tcPr>
          <w:p>
            <w:r>
              <w:t>STACK paper (arXiv PDF)</w:t>
            </w:r>
          </w:p>
        </w:tc>
      </w:tr>
      <w:tr>
        <w:tc>
          <w:tcPr>
            <w:tcW w:type="dxa" w:w="5040"/>
          </w:tcPr>
          <w:p>
            <w:r>
              <w:t>External Link 2 URL (optional)</w:t>
            </w:r>
          </w:p>
        </w:tc>
        <w:tc>
          <w:tcPr>
            <w:tcW w:type="dxa" w:w="5040"/>
          </w:tcPr>
          <w:p>
            <w:r>
              <w:t>https://github.com/AlignmentResearch/defense-in-depth-demo</w:t>
            </w:r>
          </w:p>
        </w:tc>
      </w:tr>
      <w:tr>
        <w:tc>
          <w:tcPr>
            <w:tcW w:type="dxa" w:w="5040"/>
          </w:tcPr>
          <w:p>
            <w:r>
              <w:t>External Link 2 Label (optional)</w:t>
            </w:r>
          </w:p>
        </w:tc>
        <w:tc>
          <w:tcPr>
            <w:tcW w:type="dxa" w:w="5040"/>
          </w:tcPr>
          <w:p>
            <w:r>
              <w:t>Open-source defense pipeline demo</w:t>
            </w:r>
          </w:p>
        </w:tc>
      </w:tr>
    </w:tbl>
    <w:p/>
    <w:p>
      <w:pPr>
        <w:pStyle w:val="SectionHeading"/>
      </w:pPr>
      <w:r>
        <w:t>Full Note Paragraph 1</w:t>
      </w:r>
    </w:p>
    <w:p>
      <w:pPr>
        <w:spacing w:after="120"/>
      </w:pPr>
      <w:r>
        <w:t>A useful contribution of this paper is that it stops treating safeguard components in isolation and instead evaluates the full defense pipeline as the actual object of attack. The authors build an open-source pipeline around a target model with input and output classifiers, show that a few-shot-prompted classifier can outperform ShieldGemma across their benchmark setting, and report that this stronger pipeline drives the attack success rate on ClearHarm down to 0% under baseline attacks such as PAP, ReNeLLM, and Best-of-N.</w:t>
      </w:r>
    </w:p>
    <w:p>
      <w:pPr>
        <w:pStyle w:val="SectionHeading"/>
      </w:pPr>
      <w:r>
        <w:t>Full Note Paragraph 2</w:t>
      </w:r>
    </w:p>
    <w:p>
      <w:pPr>
        <w:spacing w:after="120"/>
      </w:pPr>
      <w:r>
        <w:t>The core result is STACK, a staged attack procedure that develops jailbreaks against each component and then combines them to defeat the whole system. In the paper’s main evaluation, black-box STACK reaches 71% attack success rate on ClearHarm against the few-shot classifier pipeline, and transfer STACK still reaches 33%, which is important because it suggests that even layered defense-in-depth can become brittle once the attacker explicitly optimizes against the pipeline architecture rather than only the base model or a single guard.</w:t>
      </w:r>
    </w:p>
    <w:p>
      <w:pPr>
        <w:pStyle w:val="SectionHeading"/>
      </w:pPr>
      <w:r>
        <w:t>What Is Changing Technically</w:t>
      </w:r>
    </w:p>
    <w:p>
      <w:pPr>
        <w:pStyle w:val="ListBullet"/>
      </w:pPr>
      <w:r>
        <w:t>Evaluation is moving from single-model jailbreak testing to full pipeline-aware red teaming.</w:t>
      </w:r>
    </w:p>
    <w:p>
      <w:pPr>
        <w:pStyle w:val="ListBullet"/>
      </w:pPr>
      <w:r>
        <w:t>Input and output classifiers may each look strong on their own, but staged attacks can exploit their interaction and ordering.</w:t>
      </w:r>
    </w:p>
    <w:p>
      <w:pPr>
        <w:pStyle w:val="ListBullet"/>
      </w:pPr>
      <w:r>
        <w:t>A few-shot prompted safeguard classifier can significantly improve baseline robustness, yet this does not guarantee resilience to adaptive attacks.</w:t>
      </w:r>
    </w:p>
    <w:p>
      <w:pPr>
        <w:pStyle w:val="ListBullet"/>
      </w:pPr>
      <w:r>
        <w:t>Transfer-style attacks show that even limited-access adversaries may be able to target safeguard pipelines without direct access to every component.</w:t>
      </w:r>
    </w:p>
    <w:p>
      <w:pPr>
        <w:pStyle w:val="SectionHeading"/>
      </w:pPr>
      <w:r>
        <w:t>What Reviewers Should Notice</w:t>
      </w:r>
    </w:p>
    <w:p>
      <w:pPr>
        <w:pStyle w:val="ListBullet"/>
      </w:pPr>
      <w:r>
        <w:t>Whether the paper evaluates the entire safeguard pipeline rather than only one moderation component.</w:t>
      </w:r>
    </w:p>
    <w:p>
      <w:pPr>
        <w:pStyle w:val="ListBullet"/>
      </w:pPr>
      <w:r>
        <w:t>Whether the attack is adaptive to the defense architecture, not just reused from generic jailbreak benchmarks.</w:t>
      </w:r>
    </w:p>
    <w:p>
      <w:pPr>
        <w:pStyle w:val="ListBullet"/>
      </w:pPr>
      <w:r>
        <w:t>Whether robustness is reported in realistic black-box and transfer settings, not only toy or fully white-box assumptions.</w:t>
      </w:r>
    </w:p>
    <w:p>
      <w:pPr>
        <w:pStyle w:val="ListBullet"/>
      </w:pPr>
      <w:r>
        <w:t>Whether mitigation claims are framed as practical hardening guidance instead of proof that defense-in-depth alone is sufficient.</w:t>
      </w:r>
    </w:p>
    <w:p>
      <w:pPr>
        <w:pStyle w:val="SectionHeading"/>
      </w:pPr>
      <w:r>
        <w:t>Current Research Tension</w:t>
      </w:r>
    </w:p>
    <w:p>
      <w:pPr>
        <w:spacing w:after="120"/>
      </w:pPr>
      <w:r>
        <w:t>Current research tension: layered safeguards are becoming operationally important for frontier models, but this paper shows that composition alone is not enough; once attackers optimize against the pipeline as a system, apparent robustness can collapse much faster than ordinary benchmark results suggest.</w:t>
      </w:r>
    </w:p>
    <w:p/>
    <w:p>
      <w:pPr>
        <w:pStyle w:val="SectionHeading"/>
      </w:pPr>
      <w:r>
        <w:t>How the notebook uses this DOCX</w:t>
      </w:r>
    </w:p>
    <w:p>
      <w:pPr>
        <w:pStyle w:val="ListBullet"/>
      </w:pPr>
      <w:r>
        <w:t>It reads the Metadata table, the two full-note paragraphs, the two bullet lists, and the final tension line.</w:t>
      </w:r>
    </w:p>
    <w:p>
      <w:pPr>
        <w:pStyle w:val="ListBullet"/>
      </w:pPr>
      <w:r>
        <w:t>It inserts a new accordion note at the top of the watch-stack in ongoing-work.html.</w:t>
      </w:r>
    </w:p>
    <w:p>
      <w:pPr>
        <w:pStyle w:val="ListBullet"/>
      </w:pPr>
      <w:r>
        <w:t>If a note with the same Post ID already exists, the notebook replaces it rather than duplicating it.</w:t>
      </w:r>
    </w:p>
    <w:p>
      <w:pPr>
        <w:pStyle w:val="ListBullet"/>
      </w:pPr>
      <w:r>
        <w:t>The notebook writes a new HTML file that you can upload to GitHub.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Inter" w:hAnsi="Inter"/>
      <w:b/>
      <w:color w:val="1A365D"/>
      <w:sz w:val="44"/>
    </w:rPr>
  </w:style>
  <w:style w:type="paragraph" w:customStyle="1" w:styleId="SectionHeading">
    <w:name w:val="SectionHeading"/>
    <w:rPr>
      <w:rFonts w:ascii="Inter" w:hAnsi="Inter"/>
      <w:b/>
      <w:color w:val="2563EB"/>
      <w:sz w:val="26"/>
    </w:rPr>
  </w:style>
  <w:style w:type="paragraph" w:customStyle="1" w:styleId="FieldLabel">
    <w:name w:val="FieldLabel"/>
    <w:rPr>
      <w:rFonts w:ascii="Inter" w:hAnsi="Inter"/>
      <w:b/>
      <w:color w:val="0F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