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F136A" w:rsidRDefault="006F71AA">
      <w:pPr>
        <w:pStyle w:val="DocTitle"/>
        <w:jc w:val="center"/>
        <w:rPr>
          <w:rFonts w:hint="eastAsia"/>
        </w:rPr>
      </w:pPr>
      <w:r>
        <w:t>Weekly Research Watch Template</w:t>
      </w:r>
    </w:p>
    <w:p w:rsidR="001F136A" w:rsidRPr="006F71AA" w:rsidRDefault="006F71AA" w:rsidP="006F71AA">
      <w:pPr>
        <w:jc w:val="center"/>
        <w:rPr>
          <w:b/>
          <w:i/>
          <w:color w:val="475569"/>
          <w:sz w:val="21"/>
        </w:rPr>
      </w:pPr>
      <w:r w:rsidRPr="006F71AA">
        <w:rPr>
          <w:b/>
          <w:i/>
          <w:color w:val="475569"/>
          <w:sz w:val="21"/>
        </w:rPr>
        <w:t xml:space="preserve">Fill this DOCX, save it </w:t>
      </w:r>
      <w:r w:rsidR="00A77909">
        <w:rPr>
          <w:b/>
          <w:i/>
          <w:color w:val="475569"/>
          <w:sz w:val="21"/>
        </w:rPr>
        <w:t xml:space="preserve">with today’s date and file name </w:t>
      </w:r>
      <w:r w:rsidRPr="006F71AA">
        <w:rPr>
          <w:b/>
          <w:i/>
          <w:color w:val="475569"/>
          <w:sz w:val="21"/>
        </w:rPr>
        <w:t>in YYYY-MM-&lt;proper-small-name&gt;.docx</w:t>
      </w:r>
      <w:r w:rsidR="00A77909">
        <w:rPr>
          <w:b/>
          <w:i/>
          <w:color w:val="475569"/>
          <w:sz w:val="21"/>
        </w:rPr>
        <w:t xml:space="preserve"> format</w:t>
      </w:r>
      <w:bookmarkStart w:id="0" w:name="_GoBack"/>
      <w:bookmarkEnd w:id="0"/>
      <w:r>
        <w:rPr>
          <w:b/>
          <w:i/>
          <w:color w:val="475569"/>
          <w:sz w:val="21"/>
        </w:rPr>
        <w:t xml:space="preserve">, </w:t>
      </w:r>
      <w:r>
        <w:rPr>
          <w:i/>
          <w:color w:val="475569"/>
          <w:sz w:val="21"/>
        </w:rPr>
        <w:t xml:space="preserve">then I will use the </w:t>
      </w:r>
      <w:proofErr w:type="spellStart"/>
      <w:r>
        <w:rPr>
          <w:i/>
          <w:color w:val="475569"/>
          <w:sz w:val="21"/>
        </w:rPr>
        <w:t>Jupyter</w:t>
      </w:r>
      <w:proofErr w:type="spellEnd"/>
      <w:r>
        <w:rPr>
          <w:i/>
          <w:color w:val="475569"/>
          <w:sz w:val="21"/>
        </w:rPr>
        <w:t xml:space="preserve"> notebook to update ongoing-work.html automatically.</w:t>
      </w:r>
    </w:p>
    <w:p w:rsidR="001F136A" w:rsidRDefault="006F71AA">
      <w:pPr>
        <w:shd w:val="clear" w:color="auto" w:fill="F8FAFC"/>
      </w:pPr>
      <w:r>
        <w:rPr>
          <w:b/>
          <w:sz w:val="21"/>
        </w:rPr>
        <w:t>Important: Keep the section headings and metadata labels unchanged. Only replace the values and paragraph text.</w:t>
      </w:r>
    </w:p>
    <w:p w:rsidR="001F136A" w:rsidRDefault="001F136A"/>
    <w:p w:rsidR="001F136A" w:rsidRDefault="006F71AA">
      <w:pPr>
        <w:pStyle w:val="SectionHeading"/>
        <w:rPr>
          <w:rFonts w:hint="eastAsia"/>
        </w:rPr>
      </w:pPr>
      <w:r>
        <w:t>Metadata</w:t>
      </w:r>
    </w:p>
    <w:tbl>
      <w:tblPr>
        <w:tblStyle w:val="TableGrid"/>
        <w:tblW w:w="0" w:type="auto"/>
        <w:tblLook w:val="04A0" w:firstRow="1" w:lastRow="0" w:firstColumn="1" w:lastColumn="0" w:noHBand="0" w:noVBand="1"/>
      </w:tblPr>
      <w:tblGrid>
        <w:gridCol w:w="5040"/>
        <w:gridCol w:w="5040"/>
      </w:tblGrid>
      <w:tr w:rsidR="001F136A">
        <w:tc>
          <w:tcPr>
            <w:tcW w:w="5040" w:type="dxa"/>
          </w:tcPr>
          <w:p w:rsidR="001F136A" w:rsidRDefault="006F71AA">
            <w:r>
              <w:rPr>
                <w:b/>
                <w:sz w:val="21"/>
              </w:rPr>
              <w:t>Field</w:t>
            </w:r>
          </w:p>
        </w:tc>
        <w:tc>
          <w:tcPr>
            <w:tcW w:w="5040" w:type="dxa"/>
          </w:tcPr>
          <w:p w:rsidR="001F136A" w:rsidRDefault="006F71AA">
            <w:r>
              <w:rPr>
                <w:b/>
                <w:sz w:val="21"/>
              </w:rPr>
              <w:t>Value</w:t>
            </w:r>
          </w:p>
        </w:tc>
      </w:tr>
      <w:tr w:rsidR="001F136A">
        <w:tc>
          <w:tcPr>
            <w:tcW w:w="5040" w:type="dxa"/>
          </w:tcPr>
          <w:p w:rsidR="001F136A" w:rsidRDefault="006F71AA">
            <w:r>
              <w:t>Post ID</w:t>
            </w:r>
          </w:p>
        </w:tc>
        <w:tc>
          <w:tcPr>
            <w:tcW w:w="5040" w:type="dxa"/>
          </w:tcPr>
          <w:p>
            <w:r>
              <w:t>2026-03-embodied-ai-security-governance</w:t>
            </w:r>
          </w:p>
        </w:tc>
      </w:tr>
      <w:tr w:rsidR="001F136A">
        <w:tc>
          <w:tcPr>
            <w:tcW w:w="5040" w:type="dxa"/>
          </w:tcPr>
          <w:p w:rsidR="001F136A" w:rsidRDefault="006F71AA">
            <w:r>
              <w:t>Meta Line</w:t>
            </w:r>
          </w:p>
        </w:tc>
        <w:tc>
          <w:tcPr>
            <w:tcW w:w="5040" w:type="dxa"/>
          </w:tcPr>
          <w:p>
            <w:r>
              <w:t>Research Watch • Embodied AI Security Governance • 2026 signal</w:t>
            </w:r>
          </w:p>
        </w:tc>
      </w:tr>
      <w:tr w:rsidR="001F136A">
        <w:tc>
          <w:tcPr>
            <w:tcW w:w="5040" w:type="dxa"/>
          </w:tcPr>
          <w:p w:rsidR="001F136A" w:rsidRDefault="006F71AA">
            <w:r>
              <w:t>Title</w:t>
            </w:r>
          </w:p>
        </w:tc>
        <w:tc>
          <w:tcPr>
            <w:tcW w:w="5040" w:type="dxa"/>
          </w:tcPr>
          <w:p>
            <w:r>
              <w:t>Embodied AI Security Is No Longer Just a Model Problem</w:t>
            </w:r>
          </w:p>
        </w:tc>
      </w:tr>
      <w:tr w:rsidR="001F136A">
        <w:tc>
          <w:tcPr>
            <w:tcW w:w="5040" w:type="dxa"/>
          </w:tcPr>
          <w:p w:rsidR="001F136A" w:rsidRDefault="006F71AA">
            <w:r>
              <w:t>Preview</w:t>
            </w:r>
          </w:p>
        </w:tc>
        <w:tc>
          <w:tcPr>
            <w:tcW w:w="5040" w:type="dxa"/>
          </w:tcPr>
          <w:p>
            <w:r>
              <w:t>This paper reframes embodied AI security as a full cyber-physical-social problem, not just LLM robustness or robot safety in isolation. Once an agent can sense, decide, and act in the real world, security has to span algorithms, sensors, actuators, data, and deployment governance together.</w:t>
            </w:r>
          </w:p>
        </w:tc>
      </w:tr>
      <w:tr w:rsidR="001F136A">
        <w:tc>
          <w:tcPr>
            <w:tcW w:w="5040" w:type="dxa"/>
          </w:tcPr>
          <w:p w:rsidR="001F136A" w:rsidRDefault="006F71AA">
            <w:r>
              <w:t>Full Post Link (optional)</w:t>
            </w:r>
          </w:p>
        </w:tc>
        <w:tc>
          <w:tcPr>
            <w:tcW w:w="5040" w:type="dxa"/>
          </w:tcPr>
          <w:p>
            <w:r>
              <w:t>posts/2026-03-embodied-ai-security-governance.html</w:t>
            </w:r>
          </w:p>
        </w:tc>
      </w:tr>
      <w:tr w:rsidR="001F136A">
        <w:tc>
          <w:tcPr>
            <w:tcW w:w="5040" w:type="dxa"/>
          </w:tcPr>
          <w:p w:rsidR="001F136A" w:rsidRDefault="006F71AA">
            <w:r>
              <w:t>Related Static Page (optional)</w:t>
            </w:r>
          </w:p>
        </w:tc>
        <w:tc>
          <w:tcPr>
            <w:tcW w:w="5040" w:type="dxa"/>
          </w:tcPr>
          <w:p>
            <w:r/>
          </w:p>
        </w:tc>
      </w:tr>
      <w:tr w:rsidR="001F136A">
        <w:tc>
          <w:tcPr>
            <w:tcW w:w="5040" w:type="dxa"/>
          </w:tcPr>
          <w:p w:rsidR="001F136A" w:rsidRDefault="006F71AA">
            <w:r>
              <w:t>Related Static Page Label (optional)</w:t>
            </w:r>
          </w:p>
        </w:tc>
        <w:tc>
          <w:tcPr>
            <w:tcW w:w="5040" w:type="dxa"/>
          </w:tcPr>
          <w:p>
            <w:r/>
          </w:p>
        </w:tc>
      </w:tr>
      <w:tr w:rsidR="001F136A">
        <w:tc>
          <w:tcPr>
            <w:tcW w:w="5040" w:type="dxa"/>
          </w:tcPr>
          <w:p w:rsidR="001F136A" w:rsidRDefault="006F71AA">
            <w:r>
              <w:t>External Link 1 URL (optional)</w:t>
            </w:r>
          </w:p>
        </w:tc>
        <w:tc>
          <w:tcPr>
            <w:tcW w:w="5040" w:type="dxa"/>
          </w:tcPr>
          <w:p>
            <w:r>
              <w:t>https://doi.org/10.16418/j.issn.1000-3045.20250218002</w:t>
            </w:r>
          </w:p>
        </w:tc>
      </w:tr>
      <w:tr w:rsidR="001F136A">
        <w:tc>
          <w:tcPr>
            <w:tcW w:w="5040" w:type="dxa"/>
          </w:tcPr>
          <w:p w:rsidR="001F136A" w:rsidRDefault="006F71AA">
            <w:r>
              <w:t>External Link 1 Label (optional)</w:t>
            </w:r>
          </w:p>
        </w:tc>
        <w:tc>
          <w:tcPr>
            <w:tcW w:w="5040" w:type="dxa"/>
          </w:tcPr>
          <w:p>
            <w:r>
              <w:t>Paper DOI</w:t>
            </w:r>
          </w:p>
        </w:tc>
      </w:tr>
      <w:tr w:rsidR="001F136A">
        <w:tc>
          <w:tcPr>
            <w:tcW w:w="5040" w:type="dxa"/>
          </w:tcPr>
          <w:p w:rsidR="001F136A" w:rsidRDefault="006F71AA">
            <w:r>
              <w:t>External Link 2 URL (optional)</w:t>
            </w:r>
          </w:p>
        </w:tc>
        <w:tc>
          <w:tcPr>
            <w:tcW w:w="5040" w:type="dxa"/>
          </w:tcPr>
          <w:p>
            <w:r>
              <w:t>https://bulletinofcas.researchcommons.org/journal/vol40/iss3/4</w:t>
            </w:r>
          </w:p>
        </w:tc>
      </w:tr>
      <w:tr w:rsidR="001F136A">
        <w:tc>
          <w:tcPr>
            <w:tcW w:w="5040" w:type="dxa"/>
          </w:tcPr>
          <w:p w:rsidR="001F136A" w:rsidRDefault="006F71AA">
            <w:r>
              <w:t>External Link 2 Label (optional)</w:t>
            </w:r>
          </w:p>
        </w:tc>
        <w:tc>
          <w:tcPr>
            <w:tcW w:w="5040" w:type="dxa"/>
          </w:tcPr>
          <w:p>
            <w:r>
              <w:t>Bulletin page</w:t>
            </w:r>
          </w:p>
        </w:tc>
      </w:tr>
    </w:tbl>
    <w:p w:rsidR="001F136A" w:rsidRDefault="001F136A"/>
    <w:p w:rsidR="001F136A" w:rsidRDefault="006F71AA">
      <w:pPr>
        <w:pStyle w:val="SectionHeading"/>
        <w:rPr>
          <w:rFonts w:hint="eastAsia"/>
        </w:rPr>
      </w:pPr>
      <w:r>
        <w:t>Full Note Paragraph 1</w:t>
      </w:r>
    </w:p>
    <w:p w:rsidR="001F136A" w:rsidRDefault="006F71AA">
      <w:pPr>
        <w:spacing w:after="120"/>
      </w:pPr>
      <w:r>
        <w:t>Embodied AI changes the security discussion because the model is no longer only producing text or labels - it is now coupled to sensors, actuators, power, communications, and physical environments. The paper's main contribution is to show that security must be understood across three connected layers: the agent itself, its interaction with people and objects, and the broader information, physical, and social domains in which it is deployed.</w:t>
      </w:r>
    </w:p>
    <w:p w:rsidR="001F136A" w:rsidRDefault="006F71AA">
      <w:pPr>
        <w:pStyle w:val="SectionHeading"/>
        <w:rPr>
          <w:rFonts w:hint="eastAsia"/>
        </w:rPr>
      </w:pPr>
      <w:r>
        <w:t>Full Note Paragraph 2</w:t>
      </w:r>
    </w:p>
    <w:p w:rsidR="001F136A" w:rsidRDefault="006F71AA">
      <w:pPr>
        <w:spacing w:after="120"/>
      </w:pPr>
      <w:r>
        <w:t>Technically, this means older AI evaluation habits are too narrow. A system may look robust at the model level yet still fail through poisoned training data, prompt injection, sensor spoofing, actuator manipulation, or unsafe task planning. The useful framing here is that embodied AI inherits classical AI attacks and adds cross-domain failure paths, so security review must cover algorithm safety, sensing-control integrity, data privacy, interaction safety, supply-chain trust, runtime monitoring, and governance mechanisms such as logging, traceability, and emergency override.</w:t>
      </w:r>
    </w:p>
    <w:p w:rsidR="001F136A" w:rsidRDefault="006F71AA">
      <w:pPr>
        <w:pStyle w:val="SectionHeading"/>
        <w:rPr>
          <w:rFonts w:hint="eastAsia"/>
        </w:rPr>
      </w:pPr>
      <w:r>
        <w:t>What Is Changing Technically</w:t>
      </w:r>
    </w:p>
    <w:p w:rsidR="001F136A" w:rsidRDefault="006F71AA">
      <w:pPr>
        <w:pStyle w:val="ListBullet"/>
      </w:pPr>
      <w:r>
        <w:t>The security boundary shifts from model inference to the full perception-decision-actuation loop.</w:t>
      </w:r>
    </w:p>
    <w:p w:rsidR="001F136A" w:rsidRDefault="006F71AA">
      <w:pPr>
        <w:pStyle w:val="ListBullet"/>
      </w:pPr>
      <w:r>
        <w:t>Embodied systems inherit AI attacks such as poisoning and jailbreaks, then add physical attacks on sensors, actuators, power, and communications.</w:t>
      </w:r>
    </w:p>
    <w:p w:rsidR="001F136A" w:rsidRDefault="006F71AA">
      <w:pPr>
        <w:pStyle w:val="ListBullet"/>
      </w:pPr>
      <w:r>
        <w:t>Security claims now have to be tied to real-world consequence: human harm, object damage, unsafe motion, privacy leakage, or social misuse.</w:t>
      </w:r>
    </w:p>
    <w:p w:rsidR="001F136A" w:rsidRDefault="006F71AA">
      <w:pPr>
        <w:pStyle w:val="ListBullet"/>
      </w:pPr>
      <w:r>
        <w:t>Deployment requires stronger lifecycle controls, including evaluation standards, trusted supply chains, runtime logging, and minimum human override mechanisms.</w:t>
      </w:r>
    </w:p>
    <w:p w:rsidR="001F136A" w:rsidRDefault="006F71AA">
      <w:pPr>
        <w:pStyle w:val="SectionHeading"/>
        <w:rPr>
          <w:rFonts w:hint="eastAsia"/>
        </w:rPr>
      </w:pPr>
      <w:r>
        <w:t>What Reviewers Should Notice</w:t>
      </w:r>
    </w:p>
    <w:p w:rsidR="001F136A" w:rsidRDefault="006F71AA">
      <w:pPr>
        <w:pStyle w:val="ListBullet"/>
      </w:pPr>
      <w:r>
        <w:t>Whether the paper defines a realistic threat or deployment model across sensing, planning, action, and supervision.</w:t>
      </w:r>
    </w:p>
    <w:p w:rsidR="001F136A" w:rsidRDefault="006F71AA">
      <w:pPr>
        <w:pStyle w:val="ListBullet"/>
      </w:pPr>
      <w:r>
        <w:t>Whether the work measures downstream physical or operational consequence rather than only model error or attack success rate.</w:t>
      </w:r>
    </w:p>
    <w:p w:rsidR="001F136A" w:rsidRDefault="006F71AA">
      <w:pPr>
        <w:pStyle w:val="ListBullet"/>
      </w:pPr>
      <w:r>
        <w:t>Whether assumptions about trusted hardware, clean data, secure channels, or human-in-the-loop intervention are explicit.</w:t>
      </w:r>
    </w:p>
    <w:p w:rsidR="001F136A" w:rsidRDefault="006F71AA">
      <w:pPr>
        <w:pStyle w:val="ListBullet"/>
      </w:pPr>
      <w:r>
        <w:t>Whether the proposed security or governance direction can scale beyond one demo robot to heterogeneous deployed embodied systems.</w:t>
      </w:r>
    </w:p>
    <w:p w:rsidR="001F136A" w:rsidRDefault="006F71AA">
      <w:pPr>
        <w:pStyle w:val="SectionHeading"/>
        <w:rPr>
          <w:rFonts w:hint="eastAsia"/>
        </w:rPr>
      </w:pPr>
      <w:r>
        <w:lastRenderedPageBreak/>
        <w:t>Current Research Tension</w:t>
      </w:r>
    </w:p>
    <w:p w:rsidR="001F136A" w:rsidRDefault="006F71AA">
      <w:pPr>
        <w:spacing w:after="120"/>
      </w:pPr>
      <w:r>
        <w:t>The real challenge is not making embodied AI more capable, but making cross-domain autonomy trustworthy when perception, reasoning, and physical action can all be exploited together.</w:t>
      </w:r>
    </w:p>
    <w:p w:rsidR="001F136A" w:rsidRDefault="001F136A"/>
    <w:p w:rsidR="001F136A" w:rsidRDefault="006F71AA">
      <w:pPr>
        <w:pStyle w:val="SectionHeading"/>
        <w:rPr>
          <w:rFonts w:hint="eastAsia"/>
        </w:rPr>
      </w:pPr>
      <w:r>
        <w:t>How the notebook uses this DOCX</w:t>
      </w:r>
    </w:p>
    <w:p w:rsidR="001F136A" w:rsidRDefault="006F71AA">
      <w:pPr>
        <w:pStyle w:val="ListBullet"/>
      </w:pPr>
      <w:r>
        <w:t>It reads the Metadata table, the two full-note paragraphs, the two bullet lists, and the final tension line.</w:t>
      </w:r>
    </w:p>
    <w:p w:rsidR="001F136A" w:rsidRDefault="006F71AA">
      <w:pPr>
        <w:pStyle w:val="ListBullet"/>
      </w:pPr>
      <w:r>
        <w:t>It inserts a new accordion note at the top of the watch-stack in ongoing-work.html.</w:t>
      </w:r>
    </w:p>
    <w:p w:rsidR="001F136A" w:rsidRDefault="006F71AA">
      <w:pPr>
        <w:pStyle w:val="ListBullet"/>
      </w:pPr>
      <w:r>
        <w:t>If a note with the same Post ID already exists, the notebook replaces it rather than duplicating it.</w:t>
      </w:r>
    </w:p>
    <w:p w:rsidR="001F136A" w:rsidRDefault="006F71AA">
      <w:pPr>
        <w:pStyle w:val="ListBullet"/>
      </w:pPr>
      <w:r>
        <w:t>The notebook writes a new HTML file that you can upload to GitHub.</w:t>
      </w:r>
    </w:p>
    <w:sectPr w:rsidR="001F136A"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Inter">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136A"/>
    <w:rsid w:val="0029639D"/>
    <w:rsid w:val="00326F90"/>
    <w:rsid w:val="006F71AA"/>
    <w:rsid w:val="00A7790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9A898B"/>
  <w14:defaultImageDpi w14:val="300"/>
  <w15:docId w15:val="{8B4E20BB-5C36-4D5D-A057-621F7F18D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rPr>
      <w:rFonts w:ascii="Inter" w:hAnsi="Inter"/>
      <w:b/>
      <w:color w:val="1A365D"/>
      <w:sz w:val="44"/>
    </w:rPr>
  </w:style>
  <w:style w:type="paragraph" w:customStyle="1" w:styleId="SectionHeading">
    <w:name w:val="SectionHeading"/>
    <w:rPr>
      <w:rFonts w:ascii="Inter" w:hAnsi="Inter"/>
      <w:b/>
      <w:color w:val="2563EB"/>
      <w:sz w:val="26"/>
    </w:rPr>
  </w:style>
  <w:style w:type="paragraph" w:customStyle="1" w:styleId="FieldLabel">
    <w:name w:val="FieldLabel"/>
    <w:rPr>
      <w:rFonts w:ascii="Inter" w:hAnsi="Inter"/>
      <w:b/>
      <w:color w:val="0F172A"/>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4A51C7-5493-455E-8A11-C2EB8F8E0F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349</Words>
  <Characters>1995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Brojogopal Sapui</cp:lastModifiedBy>
  <cp:revision>3</cp:revision>
  <dcterms:created xsi:type="dcterms:W3CDTF">2013-12-23T23:15:00Z</dcterms:created>
  <dcterms:modified xsi:type="dcterms:W3CDTF">2026-03-21T15:35:00Z</dcterms:modified>
  <cp:category/>
</cp:coreProperties>
</file>