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🌿 Bellabeat Fitness Tracker Analysis</w:t>
      </w:r>
    </w:p>
    <w:p>
      <w:pPr>
        <w:spacing w:after="260"/>
        <w:jc w:val="center"/>
      </w:pPr>
      <w:r>
        <w:rPr>
          <w:b/>
          <w:bCs/>
          <w:color w:val="1F3864"/>
          <w:sz w:val="24"/>
          <w:szCs w:val="24"/>
        </w:rPr>
        <w:t xml:space="preserve">Executive Brief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6854"/>
      </w:tblGrid>
      <w:tr>
        <w:trPr>
          <w:tblHeader/>
        </w:trPr>
        <w:tc>
          <w:tcPr>
            <w:tcW w:type="dxa" w:w="322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685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do consumers use smart fitness devices day-to-day, and what does that mean for Bellabeat's product and marketing strategy?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806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33 FitBit users · ~2-month activity/sleep/weight/heart-rate logs · Kaggle, CC0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806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BigQuery cleaning &amp; joins → Python statistical analysis (correlation, t-test, segmentation) → Power BI dashboards</w:t>
            </w:r>
          </w:p>
        </w:tc>
      </w:tr>
    </w:tbl>
    <w:p>
      <w:pPr>
        <w:pStyle w:val="Heading2"/>
        <w:spacing w:after="120" w:before="240"/>
      </w:pPr>
      <w:r>
        <w:t xml:space="preserve">Top 3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Activity peaks in the early evening (5–7pm window).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≈30% of users are sedentary-leaning (&lt;5,000 steps/day, 15+ sedentary hrs/day).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Sleep-tracking users (24/33) show more consistent overall engagement than non-trackers.</w:t>
      </w:r>
    </w:p>
    <w:p>
      <w:pPr>
        <w:pStyle w:val="Heading2"/>
        <w:spacing w:after="120" w:before="240"/>
      </w:pPr>
      <w:r>
        <w:t xml:space="preserve">Recommendations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6"/>
        <w:gridCol w:w="4636"/>
        <w:gridCol w:w="4636"/>
      </w:tblGrid>
      <w:tr>
        <w:trPr>
          <w:tblHeader/>
        </w:trPr>
        <w:tc>
          <w:tcPr>
            <w:tcW w:type="dxa" w:w="80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3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3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8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notifications/challenges 5–7pm</w:t>
            </w:r>
          </w:p>
        </w:tc>
        <w:tc>
          <w:tcPr>
            <w:tcW w:type="dxa" w:w="46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Matches natural peak activity window</w:t>
            </w:r>
          </w:p>
        </w:tc>
      </w:tr>
      <w:tr>
        <w:tc>
          <w:tcPr>
            <w:tcW w:type="dxa" w:w="8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"Move More" inactivity-nudge feature</w:t>
            </w:r>
          </w:p>
        </w:tc>
        <w:tc>
          <w:tcPr>
            <w:tcW w:type="dxa" w:w="46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Converts the sedentary-leaning segment</w:t>
            </w:r>
          </w:p>
        </w:tc>
      </w:tr>
      <w:tr>
        <w:tc>
          <w:tcPr>
            <w:tcW w:type="dxa" w:w="80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sleep coaching as a Membership upgrade</w:t>
            </w:r>
          </w:p>
        </w:tc>
        <w:tc>
          <w:tcPr>
            <w:tcW w:type="dxa" w:w="463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 tracking correlates with retention</w:t>
            </w:r>
          </w:p>
        </w:tc>
      </w:tr>
    </w:tbl>
    <w:p>
      <w:pPr>
        <w:pStyle w:val="Heading2"/>
        <w:spacing w:after="120" w:before="240"/>
      </w:pPr>
      <w:r>
        <w:t xml:space="preserve">Caveat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Small sample (33 users), short observation window, no demographic data. Recommend a larger, demographically-varied follow-up study before major product investment.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2026-07-03T06:25:38.272Z</dcterms:created>
  <dcterms:modified xsi:type="dcterms:W3CDTF">2026-07-03T06:25:38.272Z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