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3FF" w:rsidRPr="00CC3BED" w:rsidRDefault="00CC3BED" w:rsidP="00CC3BED">
      <w:pPr>
        <w:spacing w:before="1800"/>
        <w:jc w:val="center"/>
        <w:rPr>
          <w:b/>
          <w:bCs/>
          <w:color w:val="1F4E5F"/>
          <w:sz w:val="44"/>
          <w:szCs w:val="44"/>
        </w:rPr>
      </w:pPr>
      <w:r>
        <w:rPr>
          <w:b/>
          <w:bCs/>
          <w:color w:val="1F4E5F"/>
          <w:sz w:val="44"/>
          <w:szCs w:val="44"/>
        </w:rPr>
        <w:t xml:space="preserve">Task 3: </w:t>
      </w:r>
      <w:r w:rsidRPr="00CC3BED">
        <w:rPr>
          <w:b/>
          <w:bCs/>
          <w:color w:val="1F4E5F"/>
          <w:sz w:val="44"/>
          <w:szCs w:val="44"/>
        </w:rPr>
        <w:t>Deep-Dive Analysis &amp; Interactive Dashboarding</w:t>
      </w:r>
    </w:p>
    <w:p w:rsidR="003C53FF" w:rsidRDefault="00CC42D4">
      <w:pPr>
        <w:spacing w:before="200"/>
        <w:jc w:val="center"/>
      </w:pPr>
      <w:r>
        <w:rPr>
          <w:color w:val="444444"/>
          <w:sz w:val="24"/>
          <w:szCs w:val="24"/>
        </w:rPr>
        <w:t>RFM Customer Analysis &amp; Sales Overview — cleaned_sales_datas</w:t>
      </w:r>
      <w:r w:rsidR="005039EA">
        <w:rPr>
          <w:color w:val="444444"/>
          <w:sz w:val="24"/>
          <w:szCs w:val="24"/>
        </w:rPr>
        <w:t>.csv</w:t>
      </w:r>
      <w:r>
        <w:rPr>
          <w:color w:val="444444"/>
          <w:sz w:val="24"/>
          <w:szCs w:val="24"/>
        </w:rPr>
        <w:t xml:space="preserve"> &amp; </w:t>
      </w:r>
      <w:r w:rsidRPr="00CC42D4">
        <w:rPr>
          <w:color w:val="444444"/>
          <w:sz w:val="24"/>
          <w:szCs w:val="24"/>
        </w:rPr>
        <w:t>customer_rfm_segments</w:t>
      </w:r>
      <w:r>
        <w:rPr>
          <w:color w:val="444444"/>
          <w:sz w:val="24"/>
          <w:szCs w:val="24"/>
        </w:rPr>
        <w:t>.csv</w:t>
      </w:r>
    </w:p>
    <w:p w:rsidR="003C53FF" w:rsidRDefault="005039EA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3C53FF" w:rsidRDefault="005039EA">
      <w:pPr>
        <w:spacing w:before="800"/>
        <w:jc w:val="center"/>
      </w:pPr>
      <w:r>
        <w:rPr>
          <w:color w:val="666666"/>
          <w:sz w:val="20"/>
          <w:szCs w:val="20"/>
        </w:rPr>
        <w:t>Prepared by: Brojo Mohan Dutta</w:t>
      </w: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>Executive Summary</w:t>
      </w:r>
    </w:p>
    <w:p w:rsidR="00CC3BED" w:rsidRDefault="00CC3BED" w:rsidP="00CC3BED">
      <w:pPr>
        <w:spacing w:after="160"/>
      </w:pPr>
      <w:r>
        <w:t>ApexPlanet's retail sales operation generated ₹139.4M in revenue across 1,000 orders from 947 unique customers over the analysis period (Jan 2025–Jan 2026). This Power BI dashboard provides two complementary analytical views: an executive-level sales performance dashboard and a customer-centric RFM (Recency, Frequency, Monetary) segmentation analysis.</w:t>
      </w:r>
    </w:p>
    <w:p w:rsidR="00CC3BED" w:rsidRDefault="00CC3BED" w:rsidP="00CC3BED">
      <w:pPr>
        <w:spacing w:after="160"/>
      </w:pPr>
      <w:r>
        <w:t>Key Performance Snapshot:</w:t>
      </w:r>
    </w:p>
    <w:p w:rsidR="00CC3BED" w:rsidRDefault="00CC3BED" w:rsidP="00CC3BED">
      <w:pPr>
        <w:spacing w:after="160"/>
      </w:pPr>
      <w:r>
        <w:t>•</w:t>
      </w:r>
      <w:r>
        <w:tab/>
        <w:t>Total Revenue: ₹139.4M</w:t>
      </w:r>
    </w:p>
    <w:p w:rsidR="00CC3BED" w:rsidRDefault="00CC3BED" w:rsidP="00CC3BED">
      <w:pPr>
        <w:spacing w:after="160"/>
      </w:pPr>
      <w:r>
        <w:t>•</w:t>
      </w:r>
      <w:r>
        <w:tab/>
        <w:t>Total Orders: 1,000</w:t>
      </w:r>
    </w:p>
    <w:p w:rsidR="00CC3BED" w:rsidRDefault="00CC3BED" w:rsidP="00CC3BED">
      <w:pPr>
        <w:spacing w:after="160"/>
      </w:pPr>
      <w:r>
        <w:t>•</w:t>
      </w:r>
      <w:r>
        <w:tab/>
        <w:t>Average Order Value (AOV): ₹139K</w:t>
      </w:r>
    </w:p>
    <w:p w:rsidR="00CC3BED" w:rsidRDefault="00CC3BED" w:rsidP="00CC3BED">
      <w:pPr>
        <w:spacing w:after="160"/>
      </w:pPr>
      <w:r>
        <w:t>•</w:t>
      </w:r>
      <w:r>
        <w:tab/>
        <w:t>Unique Customers: 947</w:t>
      </w:r>
    </w:p>
    <w:p w:rsidR="00CC3BED" w:rsidRDefault="00CC3BED" w:rsidP="00CC3BED">
      <w:pPr>
        <w:spacing w:after="160"/>
      </w:pPr>
      <w:r>
        <w:t>•</w:t>
      </w:r>
      <w:r>
        <w:tab/>
        <w:t>Average RFM Score: 7.50 / 12</w:t>
      </w:r>
    </w:p>
    <w:p w:rsidR="00CC3BED" w:rsidRDefault="00CC3BED" w:rsidP="00CC3BED">
      <w:pPr>
        <w:spacing w:after="160"/>
      </w:pPr>
      <w:r w:rsidRPr="00CC3BED">
        <w:rPr>
          <w:b/>
        </w:rPr>
        <w:t>Critical Finding:</w:t>
      </w:r>
      <w:r>
        <w:t xml:space="preserve"> The customer base is segmented into six distinct groups. Potential Loyalists (244 customers, ₹40.6M) represent the largest revenue contributor, followed closely by At-Risk customers (238 customers, ₹35.4M) — a material exposure requiring immediate retention intervention. Champions (35 customers, ₹12.3M) form a high-value core but represent only 3.7% of the customer base, confirming revenue concentration risk.</w:t>
      </w:r>
    </w:p>
    <w:p w:rsidR="00CC3BED" w:rsidRDefault="00CC3BED" w:rsidP="00CC3BED">
      <w:pPr>
        <w:spacing w:after="160"/>
      </w:pPr>
      <w:r w:rsidRPr="00CC3BED">
        <w:rPr>
          <w:b/>
        </w:rPr>
        <w:t>Geographic Performance:</w:t>
      </w:r>
      <w:r>
        <w:t xml:space="preserve"> Sales are balanced across top-tier cities. The three highest-revenue cities (Patna ₹19.29M, Kolkata ₹18.88M, Bengaluru ₹18.77M) sit within 1.2% of each other, enabling single playbook regional strategy.</w:t>
      </w:r>
    </w:p>
    <w:p w:rsidR="00CC3BED" w:rsidRDefault="00CC3BED" w:rsidP="00CC3BED">
      <w:pPr>
        <w:spacing w:after="160"/>
      </w:pPr>
      <w:r w:rsidRPr="00CC3BED">
        <w:rPr>
          <w:b/>
        </w:rPr>
        <w:t>Category Dominance:</w:t>
      </w:r>
      <w:r>
        <w:t xml:space="preserve"> Electronics category accounts for ₹50.78M (36.4% of total revenue). The next four categories (Education, Grocery, Furniture, Fashion) range from ₹19.84M to ₹25.03M, showing healthy category diversification.</w:t>
      </w:r>
    </w:p>
    <w:p w:rsidR="003C53FF" w:rsidRDefault="003C53FF">
      <w:pPr>
        <w:spacing w:before="120" w:after="40"/>
        <w:jc w:val="center"/>
      </w:pPr>
    </w:p>
    <w:p w:rsidR="00C9745D" w:rsidRDefault="005039EA" w:rsidP="00CC3BED">
      <w:pPr>
        <w:spacing w:after="220"/>
        <w:jc w:val="center"/>
      </w:pPr>
      <w:r>
        <w:rPr>
          <w:i/>
          <w:iCs/>
          <w:color w:val="555555"/>
          <w:sz w:val="18"/>
          <w:szCs w:val="18"/>
        </w:rPr>
        <w:t>Figure 1. Correlation matrix — Age, Quantity, Unit_Price, Total_Sales.</w:t>
      </w:r>
    </w:p>
    <w:p w:rsidR="003C53FF" w:rsidRDefault="00CC3BED">
      <w:pPr>
        <w:pStyle w:val="Heading1"/>
        <w:spacing w:before="300" w:after="150"/>
      </w:pPr>
      <w:r>
        <w:t xml:space="preserve">2. </w:t>
      </w:r>
      <w:r w:rsidRPr="00CC3BED">
        <w:t>Core KPIs &amp; DAX Formulas</w:t>
      </w:r>
    </w:p>
    <w:p w:rsidR="00CC3BED" w:rsidRDefault="00CC3BED" w:rsidP="00CC3BED">
      <w:pPr>
        <w:pStyle w:val="Heading2"/>
      </w:pPr>
      <w:r>
        <w:t>2.1 Revenue Metrics</w:t>
      </w:r>
    </w:p>
    <w:p w:rsidR="00CC3BED" w:rsidRPr="00CC3BED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Revenue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CC3BED" w:rsidTr="00CC3BED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C3BED" w:rsidRDefault="00CC3BED" w:rsidP="00CC3BED">
            <w:pPr>
              <w:shd w:val="clear" w:color="auto" w:fill="F4F4F4"/>
            </w:pPr>
            <w:r w:rsidRPr="00CC3BED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Revenue = SUM('cleaned_sales-data'[Total_Sales])</w:t>
            </w:r>
          </w:p>
        </w:tc>
      </w:tr>
    </w:tbl>
    <w:p w:rsidR="00CC3BED" w:rsidRDefault="00CC3BED" w:rsidP="00CC3BED">
      <w:pPr>
        <w:spacing w:after="160"/>
      </w:pPr>
    </w:p>
    <w:p w:rsidR="00CC3BED" w:rsidRDefault="00CC3BED" w:rsidP="00CC3BED">
      <w:pPr>
        <w:spacing w:after="160"/>
      </w:pPr>
      <w:r w:rsidRPr="00CC3BED">
        <w:rPr>
          <w:b/>
        </w:rPr>
        <w:t>Definition:</w:t>
      </w:r>
      <w:r>
        <w:t xml:space="preserve"> Sum of all transaction values in the sales dataset.</w:t>
      </w:r>
    </w:p>
    <w:p w:rsidR="00CC3BED" w:rsidRDefault="00CC3BED" w:rsidP="00CC3BED">
      <w:pPr>
        <w:spacing w:after="160"/>
      </w:pPr>
      <w:r w:rsidRPr="00CC3BED">
        <w:rPr>
          <w:b/>
        </w:rPr>
        <w:t>Current Value:</w:t>
      </w:r>
      <w:r>
        <w:t xml:space="preserve"> ₹139,399,440</w:t>
      </w:r>
    </w:p>
    <w:p w:rsidR="00CC3BED" w:rsidRDefault="00CC3BED" w:rsidP="00CC3BED">
      <w:pPr>
        <w:spacing w:after="160"/>
      </w:pPr>
      <w:r w:rsidRPr="00CC3BED">
        <w:rPr>
          <w:b/>
        </w:rPr>
        <w:t>Business Rationale:</w:t>
      </w:r>
      <w:r>
        <w:t xml:space="preserve"> Headline metric for executive stakeholder reporting; tracks top-line performance and campaign ROI. Updated in real-time as new transactions load from BigQuery.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Orders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CC3BED" w:rsidTr="00CC3BED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C3BED" w:rsidRDefault="00CC3BED" w:rsidP="00CC3BED">
            <w:pPr>
              <w:shd w:val="clear" w:color="auto" w:fill="F4F4F4"/>
            </w:pPr>
            <w:r w:rsidRPr="00CC3BED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Orders = DISTINCTCOUNT('cleaned_sales-data'[Order_ID])</w:t>
            </w:r>
          </w:p>
        </w:tc>
      </w:tr>
    </w:tbl>
    <w:p w:rsidR="00CC3BED" w:rsidRDefault="00CC3BED" w:rsidP="00CC3BED">
      <w:pPr>
        <w:spacing w:after="160"/>
      </w:pPr>
    </w:p>
    <w:p w:rsidR="00CC3BED" w:rsidRDefault="00CC3BED" w:rsidP="00CC3BED">
      <w:pPr>
        <w:spacing w:after="160"/>
      </w:pPr>
      <w:r w:rsidRPr="00CC3BED">
        <w:rPr>
          <w:b/>
        </w:rPr>
        <w:lastRenderedPageBreak/>
        <w:t>Definition:</w:t>
      </w:r>
      <w:r>
        <w:t xml:space="preserve"> Count of unique order identifiers (using Order_ID_Original to exclude surrogate-suffix duplicates from Task 1 deduplication).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1,000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Transaction velocity metric; signals operational capacity and customer acquisition pace. Distinct count prevents inflation from order-ID splits on multi-item orders.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Average Order Value (AOV)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AOV = DIVIDE([Total Revenue], [Total Orders], 0)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Revenue per order; measures pricing power and basket-size effectiveness.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₹139,399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Primary profitability driver. AOV increases with upsell/bundling success. Tracked month-over-month to identify pricing or product-mix shifts.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Top Category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VAR TopCategory =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TOPN(1, ALLSELECTED('cleaned_sales-data'[Category]),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CALCULATE([Total Revenue]), DESC)</w:t>
            </w:r>
          </w:p>
          <w:p w:rsidR="00FA1034" w:rsidRDefault="00FA1034" w:rsidP="00FA1034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RETURN CONCATENATEX(TopCategory, 'cleaned_sales-data'[Category], ", 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Returns the category with highest revenue under current filter context.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Electronics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Quick indicator of revenue concentration; highlights category-level strategy priorities. ALLSELECTED respects slicer selections.</w:t>
      </w:r>
    </w:p>
    <w:p w:rsidR="00CC3BED" w:rsidRDefault="00CC3BED" w:rsidP="00CC3BED">
      <w:pPr>
        <w:pStyle w:val="Heading2"/>
      </w:pPr>
      <w:r>
        <w:t>2.2 RFM Segmentation Metrics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Customers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Customers = DISTINCTCOUNT('customer_rfm_segments'[Customer_ID])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Unique customer count in the RFM table.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947</w:t>
      </w:r>
    </w:p>
    <w:p w:rsidR="00CC3BED" w:rsidRDefault="00CC3BED" w:rsidP="00CC3BED">
      <w:pPr>
        <w:spacing w:after="160"/>
      </w:pPr>
      <w:r w:rsidRPr="00FA1034">
        <w:rPr>
          <w:b/>
        </w:rPr>
        <w:t>Business Rationale:</w:t>
      </w:r>
      <w:r>
        <w:t xml:space="preserve"> Active buyer base; denominator for segment proportion and per-capita metrics.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Champions Count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Champions Count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CALCULATE([Total Customers], </w:t>
            </w: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customer_rfm_segments[Customer_Segment] = "Champions")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 w:rsidRPr="00FA1034">
        <w:rPr>
          <w:b/>
        </w:rPr>
        <w:t>Definition:</w:t>
      </w:r>
      <w:r>
        <w:t xml:space="preserve"> Count of customers scoring top quartile on all three RFM dimensions (R≥4, F≥4, M≥4).</w:t>
      </w:r>
    </w:p>
    <w:p w:rsidR="00CC3BED" w:rsidRDefault="00CC3BED" w:rsidP="00CC3BED">
      <w:pPr>
        <w:spacing w:after="160"/>
      </w:pPr>
      <w:r w:rsidRPr="00FA1034">
        <w:rPr>
          <w:b/>
        </w:rPr>
        <w:t>Current Value:</w:t>
      </w:r>
      <w:r>
        <w:t xml:space="preserve"> 35</w:t>
      </w:r>
    </w:p>
    <w:p w:rsidR="00CC3BED" w:rsidRDefault="00CC3BED" w:rsidP="00CC3BED">
      <w:pPr>
        <w:spacing w:after="160"/>
      </w:pPr>
      <w:r w:rsidRPr="00FA1034">
        <w:rPr>
          <w:b/>
        </w:rPr>
        <w:lastRenderedPageBreak/>
        <w:t>Business Rationale:</w:t>
      </w:r>
      <w:r>
        <w:t xml:space="preserve"> High-value core requiring VIP retention programs and exclusive offerings.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At Risk Count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At Risk Count</w:t>
            </w:r>
            <w:r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= CALCULATE([Total Customers], </w:t>
            </w: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customer_rfm_segments[Customer_Segment] = "At Risk")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Count of customers with low Recency (≤2) but historically frequent purchases (F≥3).</w:t>
      </w:r>
    </w:p>
    <w:p w:rsidR="00CC3BED" w:rsidRDefault="00CC3BED" w:rsidP="00CC3BED">
      <w:pPr>
        <w:spacing w:after="160"/>
      </w:pPr>
      <w:r>
        <w:t>Current Value: 238</w:t>
      </w:r>
    </w:p>
    <w:p w:rsidR="00CC3BED" w:rsidRDefault="00CC3BED" w:rsidP="00CC3BED">
      <w:pPr>
        <w:spacing w:after="160"/>
      </w:pPr>
      <w:r>
        <w:t>Business Rationale: Early churn signals; optimal target for win-back campaigns and retention incentives. Repr</w:t>
      </w:r>
      <w:r w:rsidR="00FA1034">
        <w:t>esents ₹35.4M revenue exposure.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Average RFM Score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Avg RFM Score = AVERAGE(customer_rfm_segments[RFM_Total])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Mean RFM_Total across all customers (range 3–12 via NTILE(4) quartile scoring).</w:t>
      </w:r>
    </w:p>
    <w:p w:rsidR="00CC3BED" w:rsidRDefault="00CC3BED" w:rsidP="00CC3BED">
      <w:pPr>
        <w:spacing w:after="160"/>
      </w:pPr>
      <w:r>
        <w:t>Current Value: 7.50</w:t>
      </w:r>
    </w:p>
    <w:p w:rsidR="00CC3BED" w:rsidRDefault="00CC3BED" w:rsidP="00CC3BED">
      <w:pPr>
        <w:spacing w:after="160"/>
      </w:pPr>
      <w:r>
        <w:t>Business Rationale: Portfolio health gauge. Scores below 8 signal majority in at-risk or lost states; scores above 10 signal fund</w:t>
      </w:r>
      <w:r w:rsidR="00FA1034">
        <w:t>amentally strong customer base.</w:t>
      </w:r>
    </w:p>
    <w:p w:rsidR="00CC3BED" w:rsidRPr="00FA1034" w:rsidRDefault="00CC3BED" w:rsidP="00CC3BED">
      <w:pPr>
        <w:spacing w:after="160"/>
        <w:rPr>
          <w:b/>
        </w:rPr>
      </w:pPr>
      <w:r w:rsidRPr="00CC3BED">
        <w:rPr>
          <w:b/>
          <w:sz w:val="24"/>
        </w:rPr>
        <w:t>Total Customer Monetary Value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Default="00FA1034" w:rsidP="00B1219B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Total Customer Value = SUM(customer_rfm_segments[Monetary])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Sum of all customer lifetime spend (equals sales-table revenue by construction).</w:t>
      </w:r>
    </w:p>
    <w:p w:rsidR="00CC3BED" w:rsidRDefault="00CC3BED" w:rsidP="00CC3BED">
      <w:pPr>
        <w:spacing w:after="160"/>
      </w:pPr>
      <w:r>
        <w:t>Current Value: ₹139,399,440</w:t>
      </w:r>
    </w:p>
    <w:p w:rsidR="00CC3BED" w:rsidRDefault="00CC3BED" w:rsidP="00CC3BED">
      <w:pPr>
        <w:spacing w:after="160"/>
      </w:pPr>
      <w:r>
        <w:t>Business Rationale: Reconciliation metric; validates RFM dataset integrity.</w:t>
      </w:r>
    </w:p>
    <w:p w:rsidR="00CC3BED" w:rsidRPr="00FA1034" w:rsidRDefault="00FA1034" w:rsidP="00CC3BED">
      <w:pPr>
        <w:spacing w:after="160"/>
        <w:rPr>
          <w:b/>
          <w:sz w:val="24"/>
        </w:rPr>
      </w:pPr>
      <w:r>
        <w:rPr>
          <w:b/>
          <w:sz w:val="24"/>
        </w:rPr>
        <w:t>Segment Revenue Contribution %</w:t>
      </w:r>
    </w:p>
    <w:tbl>
      <w:tblPr>
        <w:tblW w:w="9921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1"/>
      </w:tblGrid>
      <w:tr w:rsidR="00FA1034" w:rsidTr="00B1219B">
        <w:trPr>
          <w:trHeight w:val="311"/>
        </w:trPr>
        <w:tc>
          <w:tcPr>
            <w:tcW w:w="99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Segment Revenue Contribution % =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>DIVIDE(SUM(customer_rfm_segments[Monetary]),</w:t>
            </w:r>
          </w:p>
          <w:p w:rsidR="00FA1034" w:rsidRPr="00FA1034" w:rsidRDefault="00FA1034" w:rsidP="00FA1034">
            <w:pPr>
              <w:shd w:val="clear" w:color="auto" w:fill="F4F4F4"/>
              <w:rPr>
                <w:rFonts w:ascii="Consolas" w:eastAsia="Consolas" w:hAnsi="Consolas" w:cs="Consolas"/>
                <w:color w:val="1A1A1A"/>
                <w:sz w:val="16"/>
                <w:szCs w:val="16"/>
              </w:rPr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CALCULATE(SUM(customer_rfm_segments[Monetary]),</w:t>
            </w:r>
          </w:p>
          <w:p w:rsidR="00FA1034" w:rsidRDefault="00FA1034" w:rsidP="00FA1034">
            <w:pPr>
              <w:shd w:val="clear" w:color="auto" w:fill="F4F4F4"/>
            </w:pPr>
            <w:r w:rsidRPr="00FA1034">
              <w:rPr>
                <w:rFonts w:ascii="Consolas" w:eastAsia="Consolas" w:hAnsi="Consolas" w:cs="Consolas"/>
                <w:color w:val="1A1A1A"/>
                <w:sz w:val="16"/>
                <w:szCs w:val="16"/>
              </w:rPr>
              <w:t xml:space="preserve">        ALL(customer_rfm_segments[Customer_Segment])), 0)</w:t>
            </w:r>
          </w:p>
        </w:tc>
      </w:tr>
    </w:tbl>
    <w:p w:rsidR="00FA1034" w:rsidRDefault="00FA1034" w:rsidP="00CC3BED">
      <w:pPr>
        <w:spacing w:after="160"/>
      </w:pPr>
    </w:p>
    <w:p w:rsidR="00CC3BED" w:rsidRDefault="00CC3BED" w:rsidP="00CC3BED">
      <w:pPr>
        <w:spacing w:after="160"/>
      </w:pPr>
      <w:r>
        <w:t>Definition: Each segment's monetary value as percentage of total.</w:t>
      </w:r>
    </w:p>
    <w:p w:rsidR="00CC3BED" w:rsidRDefault="00CC3BED" w:rsidP="00CC3BED">
      <w:pPr>
        <w:spacing w:after="160"/>
      </w:pPr>
      <w:r>
        <w:t>Current Value: Varies by segment (see Section 3.1 breakdown).</w:t>
      </w:r>
    </w:p>
    <w:p w:rsidR="003C53FF" w:rsidRDefault="00CC3BED" w:rsidP="00CC3BED">
      <w:pPr>
        <w:spacing w:after="160"/>
      </w:pPr>
      <w:r>
        <w:t>Business Rationale: Quantifies revenue concentration risk and segment priority for budget allocation.</w:t>
      </w:r>
      <w:r w:rsidR="005039EA">
        <w:t>.</w:t>
      </w: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C9745D" w:rsidRDefault="00C9745D">
      <w:pPr>
        <w:pStyle w:val="Heading1"/>
        <w:spacing w:before="300" w:after="150"/>
      </w:pPr>
    </w:p>
    <w:p w:rsidR="003C53FF" w:rsidRDefault="005039EA" w:rsidP="002061D1">
      <w:pPr>
        <w:pStyle w:val="Heading1"/>
        <w:spacing w:before="300" w:after="150"/>
      </w:pPr>
      <w:r>
        <w:t xml:space="preserve">3. </w:t>
      </w:r>
      <w:r w:rsidR="00997AE4" w:rsidRPr="00997AE4">
        <w:t>Deep-Dive Analytical Findings</w:t>
      </w:r>
      <w:r>
        <w:rPr>
          <w:i/>
          <w:iCs/>
          <w:color w:val="555555"/>
          <w:sz w:val="18"/>
          <w:szCs w:val="18"/>
        </w:rPr>
        <w:t>.</w:t>
      </w:r>
    </w:p>
    <w:p w:rsidR="00997AE4" w:rsidRDefault="00997AE4" w:rsidP="002061D1">
      <w:pPr>
        <w:pStyle w:val="Heading2"/>
      </w:pPr>
      <w:r>
        <w:t>3.1 RFM Customer Segmentation Breakdown</w:t>
      </w:r>
    </w:p>
    <w:p w:rsidR="00997AE4" w:rsidRDefault="00997AE4" w:rsidP="00997AE4">
      <w:pPr>
        <w:spacing w:after="160"/>
      </w:pPr>
      <w:r>
        <w:t>The RFM model classifies 947 customers into six segments using three dimensions: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Recency (R):</w:t>
      </w:r>
      <w:r>
        <w:t xml:space="preserve"> Days since most recent purchase (lower = better)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Frequency (F):</w:t>
      </w:r>
      <w:r>
        <w:t xml:space="preserve"> Count of distinct purchases (higher = better)</w:t>
      </w:r>
    </w:p>
    <w:p w:rsidR="00997AE4" w:rsidRDefault="00997AE4" w:rsidP="00997AE4">
      <w:pPr>
        <w:spacing w:after="160"/>
      </w:pPr>
      <w:r>
        <w:t>•</w:t>
      </w:r>
      <w:r>
        <w:tab/>
      </w:r>
      <w:r w:rsidRPr="002061D1">
        <w:rPr>
          <w:b/>
        </w:rPr>
        <w:t>Monetary (M):</w:t>
      </w:r>
      <w:r>
        <w:t xml:space="preserve"> Total customer lifetime value (higher = better)</w:t>
      </w:r>
    </w:p>
    <w:p w:rsidR="00997AE4" w:rsidRDefault="00997AE4" w:rsidP="00997AE4">
      <w:pPr>
        <w:spacing w:after="160"/>
      </w:pPr>
      <w:r>
        <w:t>Each dimension is scored 1–4 via NTILE(4) quartile bucketing; combined RFM_Total ranges 3–12.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  <w:sz w:val="24"/>
        </w:rPr>
        <w:t>Segment Profiles &amp; Revenue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992"/>
        <w:gridCol w:w="1134"/>
        <w:gridCol w:w="992"/>
        <w:gridCol w:w="992"/>
        <w:gridCol w:w="993"/>
        <w:gridCol w:w="992"/>
        <w:gridCol w:w="1853"/>
      </w:tblGrid>
      <w:tr w:rsidR="002061D1" w:rsidRPr="002061D1" w:rsidTr="00CC42D4">
        <w:tc>
          <w:tcPr>
            <w:tcW w:w="988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Segment</w:t>
            </w:r>
          </w:p>
        </w:tc>
        <w:tc>
          <w:tcPr>
            <w:tcW w:w="1134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Customers</w:t>
            </w:r>
          </w:p>
        </w:tc>
        <w:tc>
          <w:tcPr>
            <w:tcW w:w="99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% of Base</w:t>
            </w:r>
          </w:p>
        </w:tc>
        <w:tc>
          <w:tcPr>
            <w:tcW w:w="1134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Avg Recency (days)</w:t>
            </w:r>
          </w:p>
        </w:tc>
        <w:tc>
          <w:tcPr>
            <w:tcW w:w="99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Avg Frequency</w:t>
            </w:r>
          </w:p>
        </w:tc>
        <w:tc>
          <w:tcPr>
            <w:tcW w:w="99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Avg Monetary</w:t>
            </w:r>
          </w:p>
        </w:tc>
        <w:tc>
          <w:tcPr>
            <w:tcW w:w="993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Total Monetary</w:t>
            </w:r>
          </w:p>
        </w:tc>
        <w:tc>
          <w:tcPr>
            <w:tcW w:w="99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% of Revenue</w:t>
            </w:r>
          </w:p>
        </w:tc>
        <w:tc>
          <w:tcPr>
            <w:tcW w:w="1853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Strategic Profile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Potential Loyalist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244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25.8%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203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₹166K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₹40.6M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29.1%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Emerging dormancy; historically high-spend but 6.8mo inactive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At Risk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238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25.1%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269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1.04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₹149K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₹35.4M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25.4%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Critical churn risk; 9mo+ silent, formerly frequent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Loyal Customers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200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21.1%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89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1.13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₹146K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₹29.2M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20.9%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Consistent revenue; R≥3 &amp; F≥3 signals retention strength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New / Recent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111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11.7%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42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₹142K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₹15.7M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11.3%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First-time buyers; 6-week acquisition window for repeat conversion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Champions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35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3.7%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39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1.51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₹351K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₹12.3M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8.8%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Exclusive core; only segment with avg Frequency &gt;1.0; highest spend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Lost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119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12.6%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268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₹52K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₹6.2M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4.4%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Already churned; low Monetary (≤2 quartile) confirms no historical value</w:t>
            </w:r>
          </w:p>
        </w:tc>
      </w:tr>
      <w:tr w:rsidR="002061D1" w:rsidRPr="002061D1" w:rsidTr="00CC42D4">
        <w:tc>
          <w:tcPr>
            <w:tcW w:w="988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947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100%</w:t>
            </w:r>
          </w:p>
        </w:tc>
        <w:tc>
          <w:tcPr>
            <w:tcW w:w="1134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—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—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—</w:t>
            </w:r>
          </w:p>
        </w:tc>
        <w:tc>
          <w:tcPr>
            <w:tcW w:w="99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₹139.4M</w:t>
            </w:r>
          </w:p>
        </w:tc>
        <w:tc>
          <w:tcPr>
            <w:tcW w:w="99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100%</w:t>
            </w:r>
          </w:p>
        </w:tc>
        <w:tc>
          <w:tcPr>
            <w:tcW w:w="1853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—</w:t>
            </w:r>
          </w:p>
        </w:tc>
      </w:tr>
    </w:tbl>
    <w:p w:rsidR="002061D1" w:rsidRDefault="002061D1" w:rsidP="00997AE4">
      <w:pPr>
        <w:spacing w:after="160"/>
        <w:rPr>
          <w:b/>
          <w:sz w:val="24"/>
        </w:rPr>
      </w:pPr>
    </w:p>
    <w:p w:rsidR="00997AE4" w:rsidRPr="002061D1" w:rsidRDefault="00997AE4" w:rsidP="00997AE4">
      <w:pPr>
        <w:spacing w:after="160"/>
        <w:rPr>
          <w:b/>
          <w:sz w:val="24"/>
        </w:rPr>
      </w:pPr>
      <w:r w:rsidRPr="002061D1">
        <w:rPr>
          <w:b/>
          <w:sz w:val="24"/>
        </w:rPr>
        <w:t>Segment-by-Segment Analysis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Potential Loyalists (244 customers, ₹40.6M, 29.1% of revenue)</w:t>
      </w:r>
    </w:p>
    <w:p w:rsidR="00997AE4" w:rsidRDefault="00997AE4" w:rsidP="00997AE4">
      <w:pPr>
        <w:spacing w:after="160"/>
      </w:pPr>
      <w:r>
        <w:t>Highest revenue contributor despite being the second-largest segment by count. These customers spent substantially in the past (avg ₹166K) but have lapsed for ~7 months. RFM scoring does not classify them as "At Risk" yet (R-score and F-score combinations do not meet At-Risk thresholds), but they are trending toward inactivity.</w:t>
      </w:r>
    </w:p>
    <w:p w:rsidR="00997AE4" w:rsidRDefault="00997AE4" w:rsidP="00997AE4">
      <w:pPr>
        <w:spacing w:after="160"/>
      </w:pPr>
      <w:r w:rsidRPr="002061D1">
        <w:rPr>
          <w:b/>
        </w:rPr>
        <w:lastRenderedPageBreak/>
        <w:t>Risk Indicator:</w:t>
      </w:r>
      <w:r>
        <w:t xml:space="preserve"> Recency-Monetary correlation is negative (higher spend tends to cluster with older transactions). Without intervention, 40–50% will shift to At-Risk within 60 days.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Re-engagement has highest ROI among all segments. A loyalty-program relaunch or exclusive offer targeting this segment can recapture ₹15M–20M (40–50% of segment revenue) with minimal acquisition cost.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At Risk (238 customers, ₹35.4M, 25.4% of revenue)</w:t>
      </w:r>
    </w:p>
    <w:p w:rsidR="00997AE4" w:rsidRDefault="00997AE4" w:rsidP="00997AE4">
      <w:pPr>
        <w:spacing w:after="160"/>
      </w:pPr>
      <w:r>
        <w:t>Second-largest monetary contributor but in acute churn state. These customers averaged 1–2 purchases but have not purchased in 9+ months. The fact they were formerly frequent (F≥3 threshold entered this segment) suggests prior engagement, making them recoverable via targeted win-back.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₹35.4M is material revenue exposure. Even a 10% churn rate = ₹3.5M loss. No intervention typically results in 50%+ churn within 90 days in comparable cohorts.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Win-back campaigns (personalized email + time-limited incentive) show 15–25% conversion rates on lapsed, formerly-frequent segments. Expected recovery: 36–60 customers = ₹5M–8M incremental revenue.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Loyal Customers (200 customers, ₹29.2M, 20.9% of revenue)</w:t>
      </w:r>
    </w:p>
    <w:p w:rsidR="00997AE4" w:rsidRDefault="00997AE4" w:rsidP="00997AE4">
      <w:pPr>
        <w:spacing w:after="160"/>
      </w:pPr>
      <w:r>
        <w:t>Stable, repeat-revenue base. Avg Recency 89 days signals regular purchase cadence. Frequency avg 1.13 (higher than other segments except Champions) confirms multi-purchase behavior. This segment is the safest to invest in—retention cost is lowest here.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None. These customers exhibit low churn risk based on recent activity.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Upsell and cross-sell. VIP loyalty program or tiered rewards (cash-back, early-access sales) can increase AOV by 10–20%, worth ₹2.9M–5.8M incremental.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New / Recent (111 customers, ₹15.7M, 11.3% of revenue)</w:t>
      </w:r>
    </w:p>
    <w:p w:rsidR="00997AE4" w:rsidRDefault="00997AE4" w:rsidP="00997AE4">
      <w:pPr>
        <w:spacing w:after="160"/>
      </w:pPr>
      <w:r>
        <w:t>First-time buyers acquired within last 6 weeks (avg Recency 42 days). All have Frequency = 1 (single purchase only). This cohort represents the most critical conversion moment: repeat-purchase rates in e-commerce typically peak 7–14 days post-first-order.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Frequency = 1 means zero institutional loyalty yet; loss to competitor is trivial at this stage.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Automated second-purchase incentive (7-day post-order trigger): ₹500–₹1K discount + personalized product recommendations. Expected conversion: 20–30% = 22–33 repeat buyers = ₹3.1M–4.6M incremental revenue, cost ₹2–3K per customer.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Champions (35 customers, ₹12.3M, 8.8% of revenue)</w:t>
      </w:r>
    </w:p>
    <w:p w:rsidR="00997AE4" w:rsidRDefault="00997AE4" w:rsidP="00997AE4">
      <w:pPr>
        <w:spacing w:after="160"/>
      </w:pPr>
      <w:r>
        <w:t>Exclusive high-value core. Only segment with Frequency &gt;1 on average (1.51, meaning some bought twice). Avg Monetary ₹351K is 2.4× portfolio average and concentrates at top decile. Recency avg 39 days confirms active, ongoing engagement.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Concentration risk. Loss of even 10 Champions = ₹1.2M revenue loss (0.9% of total, but 28% of segment).</w:t>
      </w:r>
    </w:p>
    <w:p w:rsidR="00997AE4" w:rsidRDefault="00997AE4" w:rsidP="00997AE4">
      <w:pPr>
        <w:spacing w:after="160"/>
      </w:pPr>
      <w:r w:rsidRPr="002061D1">
        <w:rPr>
          <w:b/>
        </w:rPr>
        <w:t>Opportunity:</w:t>
      </w:r>
      <w:r>
        <w:t xml:space="preserve"> Account management and VIP service. Dedicated support, quarterly business reviews, and exclusive product previews justify 5–15% premium pricing or upsell bundling, worth ₹600K–1.8M incremental.</w:t>
      </w:r>
    </w:p>
    <w:p w:rsidR="00997AE4" w:rsidRPr="002061D1" w:rsidRDefault="00997AE4" w:rsidP="00997AE4">
      <w:pPr>
        <w:spacing w:after="160"/>
        <w:rPr>
          <w:b/>
        </w:rPr>
      </w:pPr>
      <w:r w:rsidRPr="002061D1">
        <w:rPr>
          <w:b/>
        </w:rPr>
        <w:t>Lost (119 customers, ₹6.2M, 4.4% of revenue)</w:t>
      </w:r>
    </w:p>
    <w:p w:rsidR="00997AE4" w:rsidRDefault="00997AE4" w:rsidP="00997AE4">
      <w:pPr>
        <w:spacing w:after="160"/>
      </w:pPr>
      <w:r>
        <w:t>Already churned. Defined by R≤2, F≤2, M≤2 (all bottom quartiles). Avg spend ₹52K is 2.7× lower than portfolio average, confirming low lifetime value. These customers never developed strong purchasing patterns.</w:t>
      </w:r>
    </w:p>
    <w:p w:rsidR="00997AE4" w:rsidRDefault="00997AE4" w:rsidP="00997AE4">
      <w:pPr>
        <w:spacing w:after="160"/>
      </w:pPr>
      <w:r w:rsidRPr="002061D1">
        <w:rPr>
          <w:b/>
        </w:rPr>
        <w:t>Risk Indicator:</w:t>
      </w:r>
      <w:r>
        <w:t xml:space="preserve"> Churn is complete; re-engagement ROI is typically negative.</w:t>
      </w:r>
    </w:p>
    <w:p w:rsidR="00997AE4" w:rsidRDefault="00997AE4" w:rsidP="00997AE4">
      <w:pPr>
        <w:spacing w:after="160"/>
      </w:pPr>
      <w:r>
        <w:lastRenderedPageBreak/>
        <w:t>Recommendation: Deprioritize. Focus retention/acquisition budget on Potential Loyalists and At Risk, where payoff is higher.</w:t>
      </w:r>
    </w:p>
    <w:p w:rsidR="00997AE4" w:rsidRDefault="00997AE4" w:rsidP="00997AE4">
      <w:pPr>
        <w:spacing w:after="160"/>
      </w:pPr>
    </w:p>
    <w:p w:rsidR="00997AE4" w:rsidRDefault="00997AE4" w:rsidP="002061D1">
      <w:pPr>
        <w:pStyle w:val="Heading2"/>
      </w:pPr>
      <w:r>
        <w:t>3.2 Frequency Distribution Analysis</w:t>
      </w:r>
    </w:p>
    <w:p w:rsidR="00997AE4" w:rsidRDefault="00997AE4" w:rsidP="00997AE4">
      <w:pPr>
        <w:spacing w:after="160"/>
      </w:pPr>
      <w:r w:rsidRPr="002061D1">
        <w:rPr>
          <w:b/>
        </w:rPr>
        <w:t>Data Shape Finding:</w:t>
      </w:r>
      <w:r>
        <w:t xml:space="preserve"> Frequency is highly skewed. 895 of 947 customers (94.5%) made exactly one purchase; 51 made two; 1 made three. Correlation(Frequency, Monetary) = +0.32, confirming higher-frequency buyers tend to spend more, but insufficient variance limits Frequency as a standalone discriminator in segmentation.</w:t>
      </w:r>
    </w:p>
    <w:p w:rsidR="00997AE4" w:rsidRDefault="00997AE4" w:rsidP="00997AE4">
      <w:pPr>
        <w:spacing w:after="160"/>
      </w:pPr>
      <w:r w:rsidRPr="002061D1">
        <w:rPr>
          <w:b/>
        </w:rPr>
        <w:t>Implication for Dashboard:</w:t>
      </w:r>
      <w:r>
        <w:t xml:space="preserve"> Frequency × Recency scatter plots collapse into horizontal bands (frequency only has 3 distinct values). Replaced with Recency × Monetary scatter, which spreads properly and shows meaningful segment separation.</w:t>
      </w:r>
    </w:p>
    <w:p w:rsidR="00997AE4" w:rsidRDefault="00997AE4" w:rsidP="002061D1">
      <w:pPr>
        <w:pStyle w:val="Heading2"/>
      </w:pPr>
      <w:r>
        <w:t>3.3 Category Performance &amp; Revenue Concentration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560"/>
        <w:gridCol w:w="2268"/>
        <w:gridCol w:w="2845"/>
      </w:tblGrid>
      <w:tr w:rsidR="002061D1" w:rsidRPr="002061D1" w:rsidTr="00CC42D4">
        <w:tc>
          <w:tcPr>
            <w:tcW w:w="1555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Category</w:t>
            </w:r>
          </w:p>
        </w:tc>
        <w:tc>
          <w:tcPr>
            <w:tcW w:w="184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Revenue</w:t>
            </w:r>
          </w:p>
        </w:tc>
        <w:tc>
          <w:tcPr>
            <w:tcW w:w="1560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% of Total</w:t>
            </w:r>
          </w:p>
        </w:tc>
        <w:tc>
          <w:tcPr>
            <w:tcW w:w="2268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AOV Range (City Min–Max)</w:t>
            </w:r>
          </w:p>
        </w:tc>
        <w:tc>
          <w:tcPr>
            <w:tcW w:w="2845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Strategic Note</w:t>
            </w:r>
          </w:p>
        </w:tc>
      </w:tr>
      <w:tr w:rsidR="002061D1" w:rsidRPr="002061D1" w:rsidTr="00CC42D4">
        <w:tc>
          <w:tcPr>
            <w:tcW w:w="155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Electronics</w:t>
            </w:r>
          </w:p>
        </w:tc>
        <w:tc>
          <w:tcPr>
            <w:tcW w:w="1842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₹50.78M</w:t>
            </w:r>
          </w:p>
        </w:tc>
        <w:tc>
          <w:tcPr>
            <w:tcW w:w="1560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36.4%</w:t>
            </w:r>
          </w:p>
        </w:tc>
        <w:tc>
          <w:tcPr>
            <w:tcW w:w="2268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₹125.9K–₹165.9K</w:t>
            </w:r>
          </w:p>
        </w:tc>
        <w:tc>
          <w:tcPr>
            <w:tcW w:w="284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Dominant; pricing power highest in Bengaluru (₹165.9K)</w:t>
            </w:r>
          </w:p>
        </w:tc>
      </w:tr>
      <w:tr w:rsidR="002061D1" w:rsidRPr="002061D1" w:rsidTr="00CC42D4">
        <w:tc>
          <w:tcPr>
            <w:tcW w:w="155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Education</w:t>
            </w:r>
          </w:p>
        </w:tc>
        <w:tc>
          <w:tcPr>
            <w:tcW w:w="1842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₹25.03M</w:t>
            </w:r>
          </w:p>
        </w:tc>
        <w:tc>
          <w:tcPr>
            <w:tcW w:w="1560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17.9%</w:t>
            </w:r>
          </w:p>
        </w:tc>
        <w:tc>
          <w:tcPr>
            <w:tcW w:w="2268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₹110.5K–₹175.7K</w:t>
            </w:r>
          </w:p>
        </w:tc>
        <w:tc>
          <w:tcPr>
            <w:tcW w:w="284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Price-sensitive; Kolkata AOV (₹175.7K) suggests niche positioning</w:t>
            </w:r>
          </w:p>
        </w:tc>
      </w:tr>
      <w:tr w:rsidR="002061D1" w:rsidRPr="002061D1" w:rsidTr="00CC42D4">
        <w:tc>
          <w:tcPr>
            <w:tcW w:w="155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Grocery</w:t>
            </w:r>
          </w:p>
        </w:tc>
        <w:tc>
          <w:tcPr>
            <w:tcW w:w="1842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₹22.23M</w:t>
            </w:r>
          </w:p>
        </w:tc>
        <w:tc>
          <w:tcPr>
            <w:tcW w:w="1560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15.9%</w:t>
            </w:r>
          </w:p>
        </w:tc>
        <w:tc>
          <w:tcPr>
            <w:tcW w:w="2268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₹98.3K–₹182.8K</w:t>
            </w:r>
          </w:p>
        </w:tc>
        <w:tc>
          <w:tcPr>
            <w:tcW w:w="284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Widest AOV range; Pune drives premium (₹182.8K)</w:t>
            </w:r>
          </w:p>
        </w:tc>
      </w:tr>
      <w:tr w:rsidR="002061D1" w:rsidRPr="002061D1" w:rsidTr="00CC42D4">
        <w:tc>
          <w:tcPr>
            <w:tcW w:w="155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Furniture</w:t>
            </w:r>
          </w:p>
        </w:tc>
        <w:tc>
          <w:tcPr>
            <w:tcW w:w="1842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₹21.52M</w:t>
            </w:r>
          </w:p>
        </w:tc>
        <w:tc>
          <w:tcPr>
            <w:tcW w:w="1560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15.4%</w:t>
            </w:r>
          </w:p>
        </w:tc>
        <w:tc>
          <w:tcPr>
            <w:tcW w:w="2268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₹112.9K–₹168.8K</w:t>
            </w:r>
          </w:p>
        </w:tc>
        <w:tc>
          <w:tcPr>
            <w:tcW w:w="284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Balanced across cities; opportunity for bundling</w:t>
            </w:r>
          </w:p>
        </w:tc>
      </w:tr>
      <w:tr w:rsidR="002061D1" w:rsidTr="00CC42D4">
        <w:tc>
          <w:tcPr>
            <w:tcW w:w="155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Fashion</w:t>
            </w:r>
          </w:p>
        </w:tc>
        <w:tc>
          <w:tcPr>
            <w:tcW w:w="1842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₹19.84M</w:t>
            </w:r>
          </w:p>
        </w:tc>
        <w:tc>
          <w:tcPr>
            <w:tcW w:w="1560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14.2%</w:t>
            </w:r>
          </w:p>
        </w:tc>
        <w:tc>
          <w:tcPr>
            <w:tcW w:w="2268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₹102.8K–₹149.7K</w:t>
            </w:r>
          </w:p>
        </w:tc>
        <w:tc>
          <w:tcPr>
            <w:tcW w:w="2845" w:type="dxa"/>
          </w:tcPr>
          <w:p w:rsidR="002061D1" w:rsidRPr="00CC42D4" w:rsidRDefault="002061D1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Lowest overall AOV; volume-driven category</w:t>
            </w:r>
          </w:p>
        </w:tc>
      </w:tr>
    </w:tbl>
    <w:p w:rsidR="00997AE4" w:rsidRDefault="00997AE4" w:rsidP="00997AE4">
      <w:pPr>
        <w:spacing w:after="160"/>
      </w:pPr>
    </w:p>
    <w:p w:rsidR="00997AE4" w:rsidRDefault="00997AE4" w:rsidP="00997AE4">
      <w:pPr>
        <w:spacing w:after="160"/>
      </w:pPr>
      <w:r w:rsidRPr="002061D1">
        <w:rPr>
          <w:b/>
        </w:rPr>
        <w:t>Key Finding:</w:t>
      </w:r>
      <w:r>
        <w:t xml:space="preserve"> Electronics + Education + Grocery = 70.2% of revenue. Loss of Electronics category = 36.4% revenue cliff. Mitigation Strategy: Cross-category bundling (e.g., Electronics + Education) and category-diversification marketing campaigns to shift 5–10% of Electronics revenue to adjacent categories.</w:t>
      </w:r>
    </w:p>
    <w:p w:rsidR="00997AE4" w:rsidRDefault="00997AE4" w:rsidP="002061D1">
      <w:pPr>
        <w:pStyle w:val="Heading2"/>
      </w:pPr>
      <w:r>
        <w:t>3.4 Geographic Dynamics &amp; Regional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1276"/>
        <w:gridCol w:w="2126"/>
        <w:gridCol w:w="1559"/>
        <w:gridCol w:w="2562"/>
      </w:tblGrid>
      <w:tr w:rsidR="002061D1" w:rsidRPr="002061D1" w:rsidTr="00CC42D4">
        <w:tc>
          <w:tcPr>
            <w:tcW w:w="1271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City</w:t>
            </w:r>
          </w:p>
        </w:tc>
        <w:tc>
          <w:tcPr>
            <w:tcW w:w="1276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Revenue</w:t>
            </w:r>
          </w:p>
        </w:tc>
        <w:tc>
          <w:tcPr>
            <w:tcW w:w="1276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% of Total</w:t>
            </w:r>
          </w:p>
        </w:tc>
        <w:tc>
          <w:tcPr>
            <w:tcW w:w="2126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Top Segment</w:t>
            </w:r>
          </w:p>
        </w:tc>
        <w:tc>
          <w:tcPr>
            <w:tcW w:w="1559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Segment Count</w:t>
            </w:r>
          </w:p>
        </w:tc>
        <w:tc>
          <w:tcPr>
            <w:tcW w:w="2562" w:type="dxa"/>
            <w:shd w:val="clear" w:color="auto" w:fill="002060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AOV vs.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Patna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₹19.29M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13.8%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Potential Loyalist (36)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83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+8%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Kolkata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₹18.88M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13.5%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Potential Loyalist (35)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75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+1%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Bengaluru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₹18.77M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13.5%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At Risk (29)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77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+2%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Mumbai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₹18.76M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13.4%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At Risk (36)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82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+6%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Hyderabad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₹17.17M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12.3%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Loyal Customers (30)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78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+1%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Delhi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₹16.10M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11.5%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Potential Loyalist (31)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70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–4%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Pune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₹14.51M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10.4%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Recent Customers (27)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64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+2% vs. ₹139K portfolio</w:t>
            </w:r>
          </w:p>
        </w:tc>
      </w:tr>
      <w:tr w:rsidR="002061D1" w:rsidRPr="002061D1" w:rsidTr="00CC42D4">
        <w:tc>
          <w:tcPr>
            <w:tcW w:w="1271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Gaya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₹14.38M</w:t>
            </w:r>
          </w:p>
        </w:tc>
        <w:tc>
          <w:tcPr>
            <w:tcW w:w="127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10.3%</w:t>
            </w:r>
          </w:p>
        </w:tc>
        <w:tc>
          <w:tcPr>
            <w:tcW w:w="2126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At Risk (34)</w:t>
            </w:r>
          </w:p>
        </w:tc>
        <w:tc>
          <w:tcPr>
            <w:tcW w:w="1559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67</w:t>
            </w:r>
          </w:p>
        </w:tc>
        <w:tc>
          <w:tcPr>
            <w:tcW w:w="2562" w:type="dxa"/>
          </w:tcPr>
          <w:p w:rsidR="002061D1" w:rsidRPr="00CC42D4" w:rsidRDefault="002061D1" w:rsidP="00B1219B">
            <w:pPr>
              <w:spacing w:after="160"/>
              <w:rPr>
                <w:sz w:val="18"/>
                <w:szCs w:val="18"/>
              </w:rPr>
            </w:pPr>
            <w:r w:rsidRPr="00CC42D4">
              <w:rPr>
                <w:sz w:val="18"/>
                <w:szCs w:val="18"/>
              </w:rPr>
              <w:t>–1% vs. ₹139K portfolio</w:t>
            </w:r>
          </w:p>
        </w:tc>
      </w:tr>
    </w:tbl>
    <w:p w:rsidR="00997AE4" w:rsidRDefault="00997AE4" w:rsidP="00997AE4">
      <w:pPr>
        <w:spacing w:after="160"/>
      </w:pPr>
      <w:r w:rsidRPr="002061D1">
        <w:rPr>
          <w:b/>
        </w:rPr>
        <w:t>Regional Insight:</w:t>
      </w:r>
      <w:r>
        <w:t xml:space="preserve"> Top 3 cities (Patna, Kolkata, Bengaluru) are balanced within ₹19.3M–₹18.8M (1.2% variance). Single regional marketing playbook can be reused across all three. No city-specific customization needed at strategic level.</w:t>
      </w:r>
    </w:p>
    <w:p w:rsidR="003C53FF" w:rsidRDefault="00997AE4" w:rsidP="00997AE4">
      <w:pPr>
        <w:spacing w:after="160"/>
      </w:pPr>
      <w:r w:rsidRPr="002061D1">
        <w:rPr>
          <w:b/>
        </w:rPr>
        <w:lastRenderedPageBreak/>
        <w:t>Segment Geography:</w:t>
      </w:r>
      <w:r>
        <w:t xml:space="preserve"> At-Risk concentration is highest in Mumbai (36 customers) and Gaya (34 customers). Potential Loyalists cluster in Patna (36), Delhi (31), and Kolkata (35). Win-back campaign targeting: Focus initial effort on Patna, Kolkata (highest Potential Loyalist count) and Mumbai, Gaya (highest At-Risk count).</w:t>
      </w:r>
      <w:r w:rsidR="005039EA">
        <w:t>.</w:t>
      </w:r>
    </w:p>
    <w:p w:rsidR="003C53FF" w:rsidRDefault="005039EA">
      <w:pPr>
        <w:pStyle w:val="Heading1"/>
        <w:spacing w:before="300" w:after="150"/>
      </w:pPr>
      <w:r>
        <w:t xml:space="preserve">4. </w:t>
      </w:r>
      <w:r w:rsidR="002061D1" w:rsidRPr="002061D1">
        <w:t>Interactive Dashboard User Guide</w:t>
      </w:r>
    </w:p>
    <w:p w:rsidR="002061D1" w:rsidRDefault="002061D1" w:rsidP="002061D1">
      <w:pPr>
        <w:pStyle w:val="Heading2"/>
      </w:pPr>
      <w:r>
        <w:t>4.1 Dashboard Architecture Overview</w:t>
      </w:r>
    </w:p>
    <w:p w:rsidR="002061D1" w:rsidRDefault="002061D1" w:rsidP="002061D1">
      <w:pPr>
        <w:spacing w:after="160"/>
      </w:pPr>
      <w:r>
        <w:t>Two-Page Structure:</w:t>
      </w:r>
    </w:p>
    <w:p w:rsidR="002061D1" w:rsidRDefault="002061D1" w:rsidP="002061D1">
      <w:pPr>
        <w:spacing w:after="160"/>
      </w:pPr>
      <w:r>
        <w:t>•</w:t>
      </w:r>
      <w:r>
        <w:tab/>
      </w:r>
      <w:r w:rsidRPr="002061D1">
        <w:rPr>
          <w:b/>
        </w:rPr>
        <w:t>Page 1 (Executive Overview):</w:t>
      </w:r>
      <w:r>
        <w:t xml:space="preserve"> Sales performance, category/geography breakdown, pricing analysis</w:t>
      </w:r>
    </w:p>
    <w:p w:rsidR="002061D1" w:rsidRDefault="002061D1" w:rsidP="002061D1">
      <w:pPr>
        <w:spacing w:after="160"/>
      </w:pPr>
      <w:r>
        <w:t>•</w:t>
      </w:r>
      <w:r>
        <w:tab/>
      </w:r>
      <w:r w:rsidRPr="002061D1">
        <w:rPr>
          <w:b/>
        </w:rPr>
        <w:t>Page 2 (Customer Segmentation Deep-Dive):</w:t>
      </w:r>
      <w:r>
        <w:t xml:space="preserve"> RFM analysis, segment behavior, customer-level risk assessment</w:t>
      </w:r>
    </w:p>
    <w:p w:rsidR="002061D1" w:rsidRDefault="002061D1" w:rsidP="002061D1">
      <w:pPr>
        <w:spacing w:after="160"/>
      </w:pPr>
      <w:r w:rsidRPr="00D72216">
        <w:rPr>
          <w:b/>
        </w:rPr>
        <w:t>Global Relationship:</w:t>
      </w:r>
      <w:r>
        <w:t xml:space="preserve"> Pages are NOT cross-filtered by default. Each page has independent slicers. However, drill-through from Page 2 Segment Distribution donut → customer-level detail table is enabled.</w:t>
      </w:r>
    </w:p>
    <w:p w:rsidR="002061D1" w:rsidRDefault="002061D1" w:rsidP="002061D1">
      <w:pPr>
        <w:pStyle w:val="Heading2"/>
      </w:pPr>
      <w:r>
        <w:t>4.2 Page 1: Executive Overview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KPI Strip (Top Band)</w:t>
      </w:r>
    </w:p>
    <w:p w:rsidR="002061D1" w:rsidRDefault="002061D1" w:rsidP="002061D1">
      <w:pPr>
        <w:spacing w:after="160"/>
      </w:pPr>
      <w:r>
        <w:t>Four metric cards update dynamically based on slicer selection: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3119"/>
        <w:gridCol w:w="3554"/>
      </w:tblGrid>
      <w:tr w:rsidR="00D72216" w:rsidRPr="00D72216" w:rsidTr="00CC42D4">
        <w:tc>
          <w:tcPr>
            <w:tcW w:w="1271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Card</w:t>
            </w:r>
          </w:p>
        </w:tc>
        <w:tc>
          <w:tcPr>
            <w:tcW w:w="2126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Metric</w:t>
            </w:r>
          </w:p>
        </w:tc>
        <w:tc>
          <w:tcPr>
            <w:tcW w:w="3119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DAX</w:t>
            </w:r>
          </w:p>
        </w:tc>
        <w:tc>
          <w:tcPr>
            <w:tcW w:w="3554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Responds to Slicers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1</w:t>
            </w:r>
          </w:p>
        </w:tc>
        <w:tc>
          <w:tcPr>
            <w:tcW w:w="2126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Total Revenue</w:t>
            </w:r>
          </w:p>
        </w:tc>
        <w:tc>
          <w:tcPr>
            <w:tcW w:w="311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SUM(Total_Sales)</w:t>
            </w:r>
          </w:p>
        </w:tc>
        <w:tc>
          <w:tcPr>
            <w:tcW w:w="3554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2</w:t>
            </w:r>
          </w:p>
        </w:tc>
        <w:tc>
          <w:tcPr>
            <w:tcW w:w="2126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Total Orders</w:t>
            </w:r>
          </w:p>
        </w:tc>
        <w:tc>
          <w:tcPr>
            <w:tcW w:w="311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DISTINCTCOUNT(Order_ID)</w:t>
            </w:r>
          </w:p>
        </w:tc>
        <w:tc>
          <w:tcPr>
            <w:tcW w:w="3554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3</w:t>
            </w:r>
          </w:p>
        </w:tc>
        <w:tc>
          <w:tcPr>
            <w:tcW w:w="2126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AOV</w:t>
            </w:r>
          </w:p>
        </w:tc>
        <w:tc>
          <w:tcPr>
            <w:tcW w:w="311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[Total Revenue] ÷ [Total Orders]</w:t>
            </w:r>
          </w:p>
        </w:tc>
        <w:tc>
          <w:tcPr>
            <w:tcW w:w="3554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Month, City, Gender, Age_Group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4</w:t>
            </w:r>
          </w:p>
        </w:tc>
        <w:tc>
          <w:tcPr>
            <w:tcW w:w="2126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Top Category</w:t>
            </w:r>
          </w:p>
        </w:tc>
        <w:tc>
          <w:tcPr>
            <w:tcW w:w="311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Category with max revenue</w:t>
            </w:r>
          </w:p>
        </w:tc>
        <w:tc>
          <w:tcPr>
            <w:tcW w:w="3554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Month, City, Gender, Age_Group</w:t>
            </w:r>
          </w:p>
        </w:tc>
      </w:tr>
    </w:tbl>
    <w:p w:rsidR="00D72216" w:rsidRDefault="00D72216" w:rsidP="002061D1">
      <w:pPr>
        <w:spacing w:after="160"/>
        <w:rPr>
          <w:b/>
          <w:sz w:val="24"/>
        </w:rPr>
      </w:pP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MoM Labels (Secondary KPIs, optional display):</w:t>
      </w:r>
    </w:p>
    <w:p w:rsidR="002061D1" w:rsidRDefault="002061D1" w:rsidP="002061D1">
      <w:pPr>
        <w:spacing w:after="160"/>
      </w:pPr>
      <w:r>
        <w:t>•</w:t>
      </w:r>
      <w:r>
        <w:tab/>
        <w:t>Revenue MoM %: Compares selected month to prior month (January shows blank; uses DATEADD)</w:t>
      </w:r>
    </w:p>
    <w:p w:rsidR="002061D1" w:rsidRDefault="002061D1" w:rsidP="002061D1">
      <w:pPr>
        <w:spacing w:after="160"/>
      </w:pPr>
      <w:r>
        <w:t>•</w:t>
      </w:r>
      <w:r>
        <w:tab/>
        <w:t>AOV MoM %: Same logic for pricing trends</w:t>
      </w:r>
    </w:p>
    <w:p w:rsidR="002061D1" w:rsidRDefault="002061D1" w:rsidP="002061D1">
      <w:pPr>
        <w:spacing w:after="160"/>
      </w:pPr>
      <w:r>
        <w:t>•</w:t>
      </w:r>
      <w:r>
        <w:tab/>
        <w:t>Orders MoM %: Volume comparison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Visual 1: Revenue Trend (Combo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Order_Month_Name (sorted by Order_Month, 1–12)</w:t>
      </w:r>
    </w:p>
    <w:p w:rsidR="002061D1" w:rsidRDefault="002061D1" w:rsidP="002061D1">
      <w:pPr>
        <w:spacing w:after="160"/>
      </w:pPr>
      <w:r>
        <w:t>•</w:t>
      </w:r>
      <w:r>
        <w:tab/>
        <w:t>Columns: SUM(Total_Sales), green fill, left Y-axis (₹ scale, 0–₹10M)</w:t>
      </w:r>
    </w:p>
    <w:p w:rsidR="002061D1" w:rsidRDefault="002061D1" w:rsidP="002061D1">
      <w:pPr>
        <w:spacing w:after="160"/>
      </w:pPr>
      <w:r>
        <w:t>•</w:t>
      </w:r>
      <w:r>
        <w:tab/>
        <w:t>Line: DISTINCTCOUNT(Order_ID), blue line, right Y-axis (numeric scale, ~60–100 range)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Month slicer updates chart; hovering on a month bar shows tooltip (Revenue, Orders, AOV, Unique Customers).</w:t>
      </w:r>
    </w:p>
    <w:p w:rsidR="002061D1" w:rsidRDefault="002061D1" w:rsidP="002061D1">
      <w:pPr>
        <w:spacing w:after="160"/>
      </w:pPr>
      <w:r w:rsidRPr="00D72216">
        <w:rPr>
          <w:b/>
        </w:rPr>
        <w:t>Key Pattern:</w:t>
      </w:r>
      <w:r>
        <w:t xml:space="preserve"> November and December peaks suggest seasonal or campaign-driven uplift; June/September dips warrant investigation.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lastRenderedPageBreak/>
        <w:t>Visual 2: Revenue by Category (Treemap)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Category (size = SUM(Total_Sales), color = Category)</w:t>
      </w:r>
    </w:p>
    <w:p w:rsidR="002061D1" w:rsidRDefault="002061D1" w:rsidP="002061D1">
      <w:pPr>
        <w:spacing w:after="160"/>
      </w:pPr>
      <w:r>
        <w:t>•</w:t>
      </w:r>
      <w:r>
        <w:tab/>
        <w:t>Treemap squares proportional to revenue; Electronics dominates at 36.4%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Click on a category to drill-in (if drill-through is configured); hover for tooltip (Category, Revenue, %, Orders).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Category Color Palette (Recommended Hex Codes):</w:t>
      </w:r>
    </w:p>
    <w:p w:rsidR="002061D1" w:rsidRDefault="002061D1" w:rsidP="002061D1">
      <w:pPr>
        <w:spacing w:after="160"/>
      </w:pPr>
      <w:r>
        <w:t>•</w:t>
      </w:r>
      <w:r>
        <w:tab/>
        <w:t>Electronics: #4FA8D8 (Sky Blue)</w:t>
      </w:r>
    </w:p>
    <w:p w:rsidR="002061D1" w:rsidRDefault="002061D1" w:rsidP="002061D1">
      <w:pPr>
        <w:spacing w:after="160"/>
      </w:pPr>
      <w:r>
        <w:t>•</w:t>
      </w:r>
      <w:r>
        <w:tab/>
        <w:t>Education: #E75A84 (Rose/Magenta)</w:t>
      </w:r>
    </w:p>
    <w:p w:rsidR="002061D1" w:rsidRDefault="002061D1" w:rsidP="002061D1">
      <w:pPr>
        <w:spacing w:after="160"/>
      </w:pPr>
      <w:r>
        <w:t>•</w:t>
      </w:r>
      <w:r>
        <w:tab/>
        <w:t>Grocery: #F5C547 (Golden Yellow)</w:t>
      </w:r>
    </w:p>
    <w:p w:rsidR="002061D1" w:rsidRDefault="002061D1" w:rsidP="002061D1">
      <w:pPr>
        <w:spacing w:after="160"/>
      </w:pPr>
      <w:r>
        <w:t>•</w:t>
      </w:r>
      <w:r>
        <w:tab/>
        <w:t>Furniture: #8B6BA8 (Plum)</w:t>
      </w:r>
    </w:p>
    <w:p w:rsidR="002061D1" w:rsidRDefault="002061D1" w:rsidP="002061D1">
      <w:pPr>
        <w:spacing w:after="160"/>
      </w:pPr>
      <w:r>
        <w:t>•</w:t>
      </w:r>
      <w:r>
        <w:tab/>
        <w:t>Fashion: #F2545B (Coral Red)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  <w:sz w:val="24"/>
        </w:rPr>
      </w:pPr>
      <w:r w:rsidRPr="00D72216">
        <w:rPr>
          <w:b/>
          <w:sz w:val="24"/>
        </w:rPr>
        <w:t>Visual 3: Revenue by City (Stacked Horizontal Bar)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Y-axis: City (Patna, Kolkata, …, Unknown)</w:t>
      </w:r>
    </w:p>
    <w:p w:rsidR="002061D1" w:rsidRDefault="002061D1" w:rsidP="002061D1">
      <w:pPr>
        <w:spacing w:after="160"/>
      </w:pPr>
      <w:r>
        <w:t>•</w:t>
      </w:r>
      <w:r>
        <w:tab/>
        <w:t>X-axis: SUM(Total_Sales)</w:t>
      </w:r>
    </w:p>
    <w:p w:rsidR="002061D1" w:rsidRDefault="002061D1" w:rsidP="002061D1">
      <w:pPr>
        <w:spacing w:after="160"/>
      </w:pPr>
      <w:r>
        <w:t>•</w:t>
      </w:r>
      <w:r>
        <w:tab/>
        <w:t>Stack: Category (5 colors matching Treemap palette)</w:t>
      </w:r>
    </w:p>
    <w:p w:rsidR="002061D1" w:rsidRDefault="002061D1" w:rsidP="002061D1">
      <w:pPr>
        <w:spacing w:after="160"/>
      </w:pPr>
      <w:r>
        <w:t>•</w:t>
      </w:r>
      <w:r>
        <w:tab/>
        <w:t>Data labels: Total city revenue (₹19.29M, etc.)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Category breakdown, Revenue, % of total).</w:t>
      </w:r>
    </w:p>
    <w:p w:rsidR="002061D1" w:rsidRDefault="002061D1" w:rsidP="002061D1">
      <w:pPr>
        <w:spacing w:after="160"/>
      </w:pPr>
      <w:r>
        <w:t>Strategic Use: Identifies geographic category opportunity (e.g., "Education performs best in Kolkata"). Category slicer will filter stacks in real-time.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Visual 4: AOV Density Matrix (City × Category Heatmap)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Rows: City</w:t>
      </w:r>
    </w:p>
    <w:p w:rsidR="002061D1" w:rsidRDefault="002061D1" w:rsidP="002061D1">
      <w:pPr>
        <w:spacing w:after="160"/>
      </w:pPr>
      <w:r>
        <w:t>•</w:t>
      </w:r>
      <w:r>
        <w:tab/>
        <w:t>Columns: Category</w:t>
      </w:r>
    </w:p>
    <w:p w:rsidR="002061D1" w:rsidRDefault="002061D1" w:rsidP="002061D1">
      <w:pPr>
        <w:spacing w:after="160"/>
      </w:pPr>
      <w:r>
        <w:t>•</w:t>
      </w:r>
      <w:r>
        <w:tab/>
        <w:t>Values: Weighted AOV = SUM(Total_Sales) ÷ DISTINCTCOUNT(Order_ID) per cell</w:t>
      </w:r>
    </w:p>
    <w:p w:rsidR="002061D1" w:rsidRDefault="002061D1" w:rsidP="002061D1">
      <w:pPr>
        <w:spacing w:after="160"/>
      </w:pPr>
      <w:r>
        <w:t>•</w:t>
      </w:r>
      <w:r>
        <w:tab/>
        <w:t>Background Color: Conditional formatting (light ₹100K → dark ₹180K)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Category, AOV in ₹, Orders in cell). Slicer updates recompute AOV dynamically.</w:t>
      </w:r>
    </w:p>
    <w:p w:rsidR="002061D1" w:rsidRDefault="002061D1" w:rsidP="002061D1">
      <w:pPr>
        <w:spacing w:after="160"/>
      </w:pPr>
      <w:r w:rsidRPr="00D72216">
        <w:rPr>
          <w:b/>
        </w:rPr>
        <w:t>Insight:</w:t>
      </w:r>
      <w:r>
        <w:t xml:space="preserve"> Bengaluru Electronics commands highest AOV (₹165.9K); Delhi Furniture lowest (₹112.9K). Pricing elasticity by region is visible.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lastRenderedPageBreak/>
        <w:t>Slicer Panel (Left Rail, Fixed 200px)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3979"/>
      </w:tblGrid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Slicer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Type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Current Default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Behavior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Month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Filters Revenue Trend date axis; updates all KPIs &amp; visuals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City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Dropdown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Multi-select; filters all geo-dependent visuals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Gender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 (2-btn)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Highlights Female/Male; syncs across all tables</w:t>
            </w:r>
          </w:p>
        </w:tc>
      </w:tr>
      <w:tr w:rsidR="00D72216" w:rsidRPr="00D72216" w:rsidTr="00D72216">
        <w:tc>
          <w:tcPr>
            <w:tcW w:w="1696" w:type="dxa"/>
          </w:tcPr>
          <w:p w:rsidR="00D72216" w:rsidRPr="00D72216" w:rsidRDefault="00D72216" w:rsidP="00B1219B">
            <w:pPr>
              <w:spacing w:after="160"/>
            </w:pPr>
            <w:r w:rsidRPr="00D72216">
              <w:t>Age_Group</w:t>
            </w:r>
          </w:p>
        </w:tc>
        <w:tc>
          <w:tcPr>
            <w:tcW w:w="2127" w:type="dxa"/>
          </w:tcPr>
          <w:p w:rsidR="00D72216" w:rsidRPr="00D72216" w:rsidRDefault="00D72216" w:rsidP="00B1219B">
            <w:pPr>
              <w:spacing w:after="160"/>
            </w:pPr>
            <w:r w:rsidRPr="00D72216">
              <w:t>Button (5-btn)</w:t>
            </w:r>
          </w:p>
        </w:tc>
        <w:tc>
          <w:tcPr>
            <w:tcW w:w="226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All</w:t>
            </w:r>
          </w:p>
        </w:tc>
        <w:tc>
          <w:tcPr>
            <w:tcW w:w="3979" w:type="dxa"/>
          </w:tcPr>
          <w:p w:rsidR="00D72216" w:rsidRPr="00D72216" w:rsidRDefault="00D72216" w:rsidP="00B1219B">
            <w:pPr>
              <w:spacing w:after="160"/>
            </w:pPr>
            <w:r w:rsidRPr="00D72216">
              <w:t>18-25, 26-35, 36-45, 46-55, 56-65 age bands</w:t>
            </w:r>
          </w:p>
        </w:tc>
      </w:tr>
    </w:tbl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Slicer Behavior:</w:t>
      </w:r>
    </w:p>
    <w:p w:rsidR="002061D1" w:rsidRDefault="002061D1" w:rsidP="002061D1">
      <w:pPr>
        <w:spacing w:after="160"/>
      </w:pPr>
      <w:r>
        <w:t>•</w:t>
      </w:r>
      <w:r>
        <w:tab/>
        <w:t>Slicers sync to all four Page 1 visuals</w:t>
      </w:r>
    </w:p>
    <w:p w:rsidR="002061D1" w:rsidRDefault="002061D1" w:rsidP="002061D1">
      <w:pPr>
        <w:spacing w:after="160"/>
      </w:pPr>
      <w:r>
        <w:t>•</w:t>
      </w:r>
      <w:r>
        <w:tab/>
        <w:t>Removing Month slicer selection reverts to "All Months" (full year view)</w:t>
      </w:r>
    </w:p>
    <w:p w:rsidR="002061D1" w:rsidRDefault="002061D1" w:rsidP="002061D1">
      <w:pPr>
        <w:spacing w:after="160"/>
      </w:pPr>
      <w:r>
        <w:t>•</w:t>
      </w:r>
      <w:r>
        <w:tab/>
        <w:t>City multi-select allows "Patna + Kolkata" comparison side-by-side</w:t>
      </w:r>
    </w:p>
    <w:p w:rsidR="002061D1" w:rsidRDefault="002061D1" w:rsidP="00D72216">
      <w:pPr>
        <w:pStyle w:val="Heading2"/>
      </w:pPr>
      <w:r>
        <w:t>4.3 Page 2: Customer Segmentation Deep-Dive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KPI Strip (Top Band)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4438"/>
        <w:gridCol w:w="2518"/>
      </w:tblGrid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Card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Metric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Current Value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Responds to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1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Champions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"Champions")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35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2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At Risk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"At Risk")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238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3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Lost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CALCULATE([Total Customers], [Segment] = "Lost")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119</w:t>
            </w:r>
          </w:p>
        </w:tc>
      </w:tr>
      <w:tr w:rsidR="00D72216" w:rsidRPr="00D72216" w:rsidTr="00D72216">
        <w:tc>
          <w:tcPr>
            <w:tcW w:w="1271" w:type="dxa"/>
          </w:tcPr>
          <w:p w:rsidR="00D72216" w:rsidRPr="00D72216" w:rsidRDefault="00D72216" w:rsidP="00B1219B">
            <w:pPr>
              <w:spacing w:after="160"/>
            </w:pPr>
            <w:r w:rsidRPr="00D72216">
              <w:t>4</w:t>
            </w:r>
          </w:p>
        </w:tc>
        <w:tc>
          <w:tcPr>
            <w:tcW w:w="1843" w:type="dxa"/>
          </w:tcPr>
          <w:p w:rsidR="00D72216" w:rsidRPr="00D72216" w:rsidRDefault="00D72216" w:rsidP="00B1219B">
            <w:pPr>
              <w:spacing w:after="160"/>
            </w:pPr>
            <w:r w:rsidRPr="00D72216">
              <w:t>Avg RFM Score</w:t>
            </w:r>
          </w:p>
        </w:tc>
        <w:tc>
          <w:tcPr>
            <w:tcW w:w="4438" w:type="dxa"/>
          </w:tcPr>
          <w:p w:rsidR="00D72216" w:rsidRPr="00D72216" w:rsidRDefault="00D72216" w:rsidP="00B1219B">
            <w:pPr>
              <w:spacing w:after="160"/>
            </w:pPr>
            <w:r w:rsidRPr="00D72216">
              <w:t>AVERAGE(RFM_Total)</w:t>
            </w:r>
          </w:p>
        </w:tc>
        <w:tc>
          <w:tcPr>
            <w:tcW w:w="2518" w:type="dxa"/>
          </w:tcPr>
          <w:p w:rsidR="00D72216" w:rsidRPr="00D72216" w:rsidRDefault="00D72216" w:rsidP="00B1219B">
            <w:pPr>
              <w:spacing w:after="160"/>
            </w:pPr>
            <w:r w:rsidRPr="00D72216">
              <w:t>7.50</w:t>
            </w:r>
          </w:p>
        </w:tc>
      </w:tr>
    </w:tbl>
    <w:p w:rsidR="00D72216" w:rsidRDefault="00D72216" w:rsidP="002061D1">
      <w:pPr>
        <w:spacing w:after="160"/>
      </w:pP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1: Segment Distribution (Donut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Category (slices): Customer_Segment (6 colors, locked palette)</w:t>
      </w:r>
    </w:p>
    <w:p w:rsidR="002061D1" w:rsidRDefault="002061D1" w:rsidP="002061D1">
      <w:pPr>
        <w:spacing w:after="160"/>
      </w:pPr>
      <w:r>
        <w:t>•</w:t>
      </w:r>
      <w:r>
        <w:tab/>
        <w:t>Values: DISTINCTCOUNT(Customer_ID)</w:t>
      </w:r>
    </w:p>
    <w:p w:rsidR="002061D1" w:rsidRDefault="002061D1" w:rsidP="002061D1">
      <w:pPr>
        <w:spacing w:after="160"/>
      </w:pPr>
      <w:r>
        <w:t>•</w:t>
      </w:r>
      <w:r>
        <w:tab/>
        <w:t>Center: Total count (947 Customers)</w:t>
      </w:r>
    </w:p>
    <w:p w:rsidR="002061D1" w:rsidRDefault="002061D1" w:rsidP="002061D1">
      <w:pPr>
        <w:spacing w:after="160"/>
      </w:pPr>
      <w:r>
        <w:t>•</w:t>
      </w:r>
      <w:r>
        <w:tab/>
        <w:t>Data labels: Segment name, % (e.g., "Potential Loyalist 26%")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Color Palette (Locked across all Page 2 visuals):</w:t>
      </w:r>
    </w:p>
    <w:p w:rsidR="002061D1" w:rsidRDefault="002061D1" w:rsidP="002061D1">
      <w:pPr>
        <w:spacing w:after="160"/>
      </w:pPr>
      <w:r>
        <w:t>•</w:t>
      </w:r>
      <w:r>
        <w:tab/>
        <w:t>Champions: #1B998B (Teal)</w:t>
      </w:r>
    </w:p>
    <w:p w:rsidR="002061D1" w:rsidRDefault="002061D1" w:rsidP="002061D1">
      <w:pPr>
        <w:spacing w:after="160"/>
      </w:pPr>
      <w:r>
        <w:t>•</w:t>
      </w:r>
      <w:r>
        <w:tab/>
        <w:t>Loyal Customers: #0B2545 (Navy)</w:t>
      </w:r>
    </w:p>
    <w:p w:rsidR="002061D1" w:rsidRDefault="002061D1" w:rsidP="002061D1">
      <w:pPr>
        <w:spacing w:after="160"/>
      </w:pPr>
      <w:r>
        <w:lastRenderedPageBreak/>
        <w:t>•</w:t>
      </w:r>
      <w:r>
        <w:tab/>
        <w:t>Potential Loyalist: #E8AA42 (Gold)</w:t>
      </w:r>
    </w:p>
    <w:p w:rsidR="002061D1" w:rsidRDefault="002061D1" w:rsidP="002061D1">
      <w:pPr>
        <w:spacing w:after="160"/>
      </w:pPr>
      <w:r>
        <w:t>•</w:t>
      </w:r>
      <w:r>
        <w:tab/>
        <w:t>New / Recent: #4FA8D8 (Sky Blue)</w:t>
      </w:r>
    </w:p>
    <w:p w:rsidR="002061D1" w:rsidRDefault="002061D1" w:rsidP="002061D1">
      <w:pPr>
        <w:spacing w:after="160"/>
      </w:pPr>
      <w:r>
        <w:t>•</w:t>
      </w:r>
      <w:r>
        <w:tab/>
        <w:t>At Risk: #F2545B (Coral)</w:t>
      </w:r>
    </w:p>
    <w:p w:rsidR="002061D1" w:rsidRDefault="002061D1" w:rsidP="002061D1">
      <w:pPr>
        <w:spacing w:after="160"/>
      </w:pPr>
      <w:r>
        <w:t>•</w:t>
      </w:r>
      <w:r>
        <w:tab/>
        <w:t>Lost: #9AA5B1 (Slate Gray)</w:t>
      </w:r>
    </w:p>
    <w:p w:rsidR="002061D1" w:rsidRDefault="002061D1" w:rsidP="002061D1">
      <w:pPr>
        <w:spacing w:after="160"/>
      </w:pPr>
      <w:r w:rsidRPr="00D72216">
        <w:rPr>
          <w:b/>
        </w:rPr>
        <w:t>Drill-Through:</w:t>
      </w:r>
      <w:r>
        <w:t xml:space="preserve"> Right-click on any segment slice → "See Customer Details" drill-through page (hidden, non-default). Lands on filtered customer table: Customer_Name, City, Recency_Days, Frequency, Monetary, RFM_Total.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2: Segment Value Contribution (Column Chart)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Customer_Segment</w:t>
      </w:r>
    </w:p>
    <w:p w:rsidR="002061D1" w:rsidRDefault="002061D1" w:rsidP="002061D1">
      <w:pPr>
        <w:spacing w:after="160"/>
      </w:pPr>
      <w:r>
        <w:t>•</w:t>
      </w:r>
      <w:r>
        <w:tab/>
        <w:t>Y-axis: SUM(Monetary)</w:t>
      </w:r>
    </w:p>
    <w:p w:rsidR="002061D1" w:rsidRDefault="002061D1" w:rsidP="002061D1">
      <w:pPr>
        <w:spacing w:after="160"/>
      </w:pPr>
      <w:r>
        <w:t>•</w:t>
      </w:r>
      <w:r>
        <w:tab/>
        <w:t>Colors: Segment colors (locked palette)</w:t>
      </w:r>
    </w:p>
    <w:p w:rsidR="002061D1" w:rsidRDefault="002061D1" w:rsidP="002061D1">
      <w:pPr>
        <w:spacing w:after="160"/>
      </w:pPr>
      <w:r>
        <w:t>•</w:t>
      </w:r>
      <w:r>
        <w:tab/>
        <w:t>Data labels: ₹ value (₹41M, ₹35M, etc.)</w:t>
      </w:r>
    </w:p>
    <w:p w:rsidR="002061D1" w:rsidRDefault="002061D1" w:rsidP="002061D1">
      <w:pPr>
        <w:spacing w:after="160"/>
      </w:pPr>
      <w:r w:rsidRPr="00D72216">
        <w:rPr>
          <w:b/>
        </w:rPr>
        <w:t xml:space="preserve">Interaction: </w:t>
      </w:r>
      <w:r>
        <w:t>Hover for tooltip (Segment, Monetary, % of total, Customer count). Click on column to cross-filter other visuals (if cross-filter enabled).</w:t>
      </w:r>
    </w:p>
    <w:p w:rsidR="002061D1" w:rsidRDefault="002061D1" w:rsidP="002061D1">
      <w:pPr>
        <w:spacing w:after="160"/>
      </w:pPr>
      <w:r w:rsidRPr="00D72216">
        <w:rPr>
          <w:b/>
        </w:rPr>
        <w:t>Key Insight:</w:t>
      </w:r>
      <w:r>
        <w:t xml:space="preserve"> Potential Loyalist (₹41M) &gt; At Risk (₹35M) &gt; Loyal Customers (₹29M). Despite fewer customers, Potential Loyalist drives most revenue.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3: Customer Value vs. Recency (Scatter Plot)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X-axis: Recency_Days (0–350 range)</w:t>
      </w:r>
    </w:p>
    <w:p w:rsidR="002061D1" w:rsidRDefault="002061D1" w:rsidP="002061D1">
      <w:pPr>
        <w:spacing w:after="160"/>
      </w:pPr>
      <w:r>
        <w:t>•</w:t>
      </w:r>
      <w:r>
        <w:tab/>
        <w:t>Y-axis: Monetary (₹0–₹1M range, linear scale)</w:t>
      </w:r>
    </w:p>
    <w:p w:rsidR="002061D1" w:rsidRDefault="002061D1" w:rsidP="002061D1">
      <w:pPr>
        <w:spacing w:after="160"/>
      </w:pPr>
      <w:r>
        <w:t>•</w:t>
      </w:r>
      <w:r>
        <w:tab/>
        <w:t>Legend: Customer_Segment (6 colors)</w:t>
      </w:r>
    </w:p>
    <w:p w:rsidR="002061D1" w:rsidRDefault="002061D1" w:rsidP="002061D1">
      <w:pPr>
        <w:spacing w:after="160"/>
      </w:pPr>
      <w:r>
        <w:t>•</w:t>
      </w:r>
      <w:r>
        <w:tab/>
        <w:t>Bubble size: Frequency (subtle signal; mostly 1, a few 2)</w:t>
      </w:r>
    </w:p>
    <w:p w:rsidR="002061D1" w:rsidRDefault="002061D1" w:rsidP="002061D1">
      <w:pPr>
        <w:spacing w:after="160"/>
      </w:pPr>
      <w:r>
        <w:t>•</w:t>
      </w:r>
      <w:r>
        <w:tab/>
        <w:t>Transparency: 50% (shows density overlap)</w:t>
      </w:r>
    </w:p>
    <w:p w:rsidR="002061D1" w:rsidRDefault="002061D1" w:rsidP="002061D1">
      <w:pPr>
        <w:spacing w:after="160"/>
      </w:pPr>
      <w:r>
        <w:t>•</w:t>
      </w:r>
      <w:r>
        <w:tab/>
        <w:t>Tooltip: Customer_Name, City, Frequency, RFM_Total, Segment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Visual Pattern:</w:t>
      </w:r>
    </w:p>
    <w:p w:rsidR="002061D1" w:rsidRDefault="002061D1" w:rsidP="002061D1">
      <w:pPr>
        <w:spacing w:after="160"/>
      </w:pPr>
      <w:r>
        <w:t>•</w:t>
      </w:r>
      <w:r>
        <w:tab/>
        <w:t>Champions cluster top-left (low Recency ~39 days, high Monetary ₹351K avg)</w:t>
      </w:r>
    </w:p>
    <w:p w:rsidR="002061D1" w:rsidRDefault="002061D1" w:rsidP="002061D1">
      <w:pPr>
        <w:spacing w:after="160"/>
      </w:pPr>
      <w:r>
        <w:t>•</w:t>
      </w:r>
      <w:r>
        <w:tab/>
        <w:t>At Risk cluster right (high Recency ~269 days, moderate Monetary ₹149K)</w:t>
      </w:r>
    </w:p>
    <w:p w:rsidR="002061D1" w:rsidRDefault="002061D1" w:rsidP="002061D1">
      <w:pPr>
        <w:spacing w:after="160"/>
      </w:pPr>
      <w:r>
        <w:t>•</w:t>
      </w:r>
      <w:r>
        <w:tab/>
        <w:t>Lost cluster bottom-right (high Recency ~268 days, low Monetary ₹52K)</w:t>
      </w:r>
    </w:p>
    <w:p w:rsidR="002061D1" w:rsidRDefault="002061D1" w:rsidP="002061D1">
      <w:pPr>
        <w:spacing w:after="160"/>
      </w:pPr>
      <w:r>
        <w:t>•</w:t>
      </w:r>
      <w:r>
        <w:tab/>
        <w:t>Potential Loyalist scattered vertically (wide Recency 203 days, high Monetary ₹166K avg)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over a point for customer-level detail. Click on legend segment to filter/isolate segment.</w:t>
      </w:r>
    </w:p>
    <w:p w:rsidR="002061D1" w:rsidRDefault="002061D1" w:rsidP="002061D1">
      <w:pPr>
        <w:spacing w:after="160"/>
      </w:pPr>
      <w:r>
        <w:t>________________________________________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lastRenderedPageBreak/>
        <w:t>Visual 4: Segment × City Heatmap (Matrix)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Fields:</w:t>
      </w:r>
    </w:p>
    <w:p w:rsidR="002061D1" w:rsidRDefault="002061D1" w:rsidP="002061D1">
      <w:pPr>
        <w:spacing w:after="160"/>
      </w:pPr>
      <w:r>
        <w:t>•</w:t>
      </w:r>
      <w:r>
        <w:tab/>
        <w:t>Rows: City (Bengaluru, Delhi, Gaya, Hyderabad, Kolkata, Mumbai, Patna, Pune)</w:t>
      </w:r>
    </w:p>
    <w:p w:rsidR="002061D1" w:rsidRDefault="002061D1" w:rsidP="002061D1">
      <w:pPr>
        <w:spacing w:after="160"/>
      </w:pPr>
      <w:r>
        <w:t>•</w:t>
      </w:r>
      <w:r>
        <w:tab/>
        <w:t>Columns: Customer_Segment (6 segments)</w:t>
      </w:r>
    </w:p>
    <w:p w:rsidR="002061D1" w:rsidRDefault="002061D1" w:rsidP="002061D1">
      <w:pPr>
        <w:spacing w:after="160"/>
      </w:pPr>
      <w:r>
        <w:t>•</w:t>
      </w:r>
      <w:r>
        <w:tab/>
        <w:t>Values: DISTINCTCOUNT(Customer_ID) per cell</w:t>
      </w:r>
    </w:p>
    <w:p w:rsidR="002061D1" w:rsidRDefault="002061D1" w:rsidP="002061D1">
      <w:pPr>
        <w:spacing w:after="160"/>
      </w:pPr>
      <w:r>
        <w:t>•</w:t>
      </w:r>
      <w:r>
        <w:tab/>
        <w:t>Background Color: Conditional (light 2 → dark 36)</w:t>
      </w:r>
    </w:p>
    <w:p w:rsidR="002061D1" w:rsidRDefault="002061D1" w:rsidP="002061D1">
      <w:pPr>
        <w:spacing w:after="160"/>
      </w:pPr>
      <w:r w:rsidRPr="00D72216">
        <w:rPr>
          <w:b/>
        </w:rPr>
        <w:t>Interaction:</w:t>
      </w:r>
      <w:r>
        <w:t xml:space="preserve"> Hover for tooltip (City, Segment, Customer count, % of total). Age_Group slicer will filter rows dynamically.</w:t>
      </w:r>
    </w:p>
    <w:p w:rsidR="002061D1" w:rsidRDefault="002061D1" w:rsidP="002061D1">
      <w:pPr>
        <w:spacing w:after="160"/>
      </w:pPr>
      <w:r w:rsidRPr="00D72216">
        <w:rPr>
          <w:b/>
        </w:rPr>
        <w:t>Insight:</w:t>
      </w:r>
      <w:r>
        <w:t xml:space="preserve"> Mumbai has highest At-Risk concentration (36), Patna has highest Potential Loyalist (36). Geographic win-back campaign prioritization is visible.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  <w:sz w:val="24"/>
        </w:rPr>
        <w:t>Slicer Panel (Left Rail, Fixed 200px)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1559"/>
        <w:gridCol w:w="4688"/>
      </w:tblGrid>
      <w:tr w:rsidR="00D72216" w:rsidRPr="00D72216" w:rsidTr="00CC42D4">
        <w:tc>
          <w:tcPr>
            <w:tcW w:w="1980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Slicer</w:t>
            </w:r>
          </w:p>
        </w:tc>
        <w:tc>
          <w:tcPr>
            <w:tcW w:w="1843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Type</w:t>
            </w:r>
          </w:p>
        </w:tc>
        <w:tc>
          <w:tcPr>
            <w:tcW w:w="1559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Default</w:t>
            </w:r>
          </w:p>
        </w:tc>
        <w:tc>
          <w:tcPr>
            <w:tcW w:w="4688" w:type="dxa"/>
            <w:shd w:val="clear" w:color="auto" w:fill="002060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Impact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Customer Segment</w:t>
            </w:r>
          </w:p>
        </w:tc>
        <w:tc>
          <w:tcPr>
            <w:tcW w:w="1843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Dropdown</w:t>
            </w:r>
          </w:p>
        </w:tc>
        <w:tc>
          <w:tcPr>
            <w:tcW w:w="155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All</w:t>
            </w:r>
          </w:p>
        </w:tc>
        <w:tc>
          <w:tcPr>
            <w:tcW w:w="4688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Filters all Page 2 visuals; enables segment comparison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City</w:t>
            </w:r>
          </w:p>
        </w:tc>
        <w:tc>
          <w:tcPr>
            <w:tcW w:w="1843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Dropdown</w:t>
            </w:r>
          </w:p>
        </w:tc>
        <w:tc>
          <w:tcPr>
            <w:tcW w:w="155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All</w:t>
            </w:r>
          </w:p>
        </w:tc>
        <w:tc>
          <w:tcPr>
            <w:tcW w:w="4688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Multi-select; filters donut, scatter, heatmap to geo subset</w:t>
            </w:r>
          </w:p>
        </w:tc>
      </w:tr>
      <w:tr w:rsidR="00D72216" w:rsidRPr="00D72216" w:rsidTr="00D72216">
        <w:tc>
          <w:tcPr>
            <w:tcW w:w="1980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Gender</w:t>
            </w:r>
          </w:p>
        </w:tc>
        <w:tc>
          <w:tcPr>
            <w:tcW w:w="1843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Button</w:t>
            </w:r>
          </w:p>
        </w:tc>
        <w:tc>
          <w:tcPr>
            <w:tcW w:w="155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All</w:t>
            </w:r>
          </w:p>
        </w:tc>
        <w:tc>
          <w:tcPr>
            <w:tcW w:w="4688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Highlights; shows gender split within selected segment</w:t>
            </w:r>
          </w:p>
        </w:tc>
      </w:tr>
      <w:tr w:rsidR="00D72216" w:rsidTr="00D72216">
        <w:tc>
          <w:tcPr>
            <w:tcW w:w="1980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Age_Group</w:t>
            </w:r>
          </w:p>
        </w:tc>
        <w:tc>
          <w:tcPr>
            <w:tcW w:w="1843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Button</w:t>
            </w:r>
          </w:p>
        </w:tc>
        <w:tc>
          <w:tcPr>
            <w:tcW w:w="1559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All</w:t>
            </w:r>
          </w:p>
        </w:tc>
        <w:tc>
          <w:tcPr>
            <w:tcW w:w="4688" w:type="dxa"/>
          </w:tcPr>
          <w:p w:rsidR="00D72216" w:rsidRPr="00CC42D4" w:rsidRDefault="00D72216" w:rsidP="00B1219B">
            <w:pPr>
              <w:spacing w:after="160"/>
              <w:rPr>
                <w:sz w:val="18"/>
              </w:rPr>
            </w:pPr>
            <w:r w:rsidRPr="00CC42D4">
              <w:rPr>
                <w:sz w:val="18"/>
              </w:rPr>
              <w:t>Filters by age band; useful for cohort analysis</w:t>
            </w:r>
          </w:p>
        </w:tc>
      </w:tr>
    </w:tbl>
    <w:p w:rsidR="002061D1" w:rsidRDefault="002061D1" w:rsidP="002061D1">
      <w:pPr>
        <w:spacing w:after="160"/>
      </w:pPr>
    </w:p>
    <w:p w:rsidR="002061D1" w:rsidRDefault="002061D1" w:rsidP="00D72216">
      <w:pPr>
        <w:pStyle w:val="Heading2"/>
      </w:pPr>
      <w:r>
        <w:t>4.4 Cross-Page Navigation</w:t>
      </w:r>
    </w:p>
    <w:p w:rsidR="002061D1" w:rsidRDefault="002061D1" w:rsidP="002061D1">
      <w:pPr>
        <w:spacing w:after="160"/>
      </w:pPr>
      <w:r w:rsidRPr="00D72216">
        <w:rPr>
          <w:b/>
        </w:rPr>
        <w:t>Page Tabs:</w:t>
      </w:r>
      <w:r>
        <w:t xml:space="preserve"> Two tabs at top (Executive Overview | Customer Segmentation Deep-Dive) enable toggle. No data carries between pages unless explicitly linked via drill-through.</w:t>
      </w:r>
    </w:p>
    <w:p w:rsidR="002061D1" w:rsidRPr="00D72216" w:rsidRDefault="002061D1" w:rsidP="002061D1">
      <w:pPr>
        <w:spacing w:after="160"/>
        <w:rPr>
          <w:b/>
        </w:rPr>
      </w:pPr>
      <w:r w:rsidRPr="00D72216">
        <w:rPr>
          <w:b/>
        </w:rPr>
        <w:t>Drill-Through (Page 2 → Hidden Detail Page):</w:t>
      </w:r>
    </w:p>
    <w:p w:rsidR="002061D1" w:rsidRDefault="002061D1" w:rsidP="002061D1">
      <w:pPr>
        <w:spacing w:after="160"/>
      </w:pPr>
      <w:r>
        <w:t>1.</w:t>
      </w:r>
      <w:r>
        <w:tab/>
        <w:t>On Page 2, right-click any donut slice (segment)</w:t>
      </w:r>
    </w:p>
    <w:p w:rsidR="002061D1" w:rsidRDefault="002061D1" w:rsidP="002061D1">
      <w:pPr>
        <w:spacing w:after="160"/>
      </w:pPr>
      <w:r>
        <w:t>2.</w:t>
      </w:r>
      <w:r>
        <w:tab/>
        <w:t>Select "See Customer Details"</w:t>
      </w:r>
    </w:p>
    <w:p w:rsidR="002061D1" w:rsidRDefault="002061D1" w:rsidP="002061D1">
      <w:pPr>
        <w:spacing w:after="160"/>
      </w:pPr>
      <w:r>
        <w:t>3.</w:t>
      </w:r>
      <w:r>
        <w:tab/>
        <w:t>Hidden page appears with filtered customer roster for that segment</w:t>
      </w:r>
    </w:p>
    <w:p w:rsidR="002061D1" w:rsidRDefault="002061D1" w:rsidP="002061D1">
      <w:pPr>
        <w:spacing w:after="160"/>
      </w:pPr>
      <w:r>
        <w:t>4.</w:t>
      </w:r>
      <w:r>
        <w:tab/>
        <w:t>Fields: Customer_Name, City, Age_Group, Gender, Recency_Days, Frequency, Monetary, RFM_Total</w:t>
      </w:r>
    </w:p>
    <w:p w:rsidR="00C9745D" w:rsidRDefault="002061D1" w:rsidP="002061D1">
      <w:pPr>
        <w:spacing w:after="160"/>
      </w:pPr>
      <w:r>
        <w:t>5.</w:t>
      </w:r>
      <w:r>
        <w:tab/>
        <w:t>Enables account managers to call specific customers per segment</w:t>
      </w:r>
      <w:r w:rsidR="005039EA">
        <w:t>.</w:t>
      </w:r>
      <w:r w:rsidR="005039EA"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 xml:space="preserve">5. </w:t>
      </w:r>
      <w:r w:rsidR="00D72216" w:rsidRPr="00D72216">
        <w:t>Strategic Business Recommendations</w:t>
      </w:r>
    </w:p>
    <w:p w:rsidR="00B1219B" w:rsidRDefault="005039EA" w:rsidP="00B1219B">
      <w:pPr>
        <w:pStyle w:val="Heading2"/>
      </w:pPr>
      <w:r>
        <w:t>A</w:t>
      </w:r>
      <w:r w:rsidR="00B1219B">
        <w:t>5.1 Immediate Action (0–30 days): Win-Back Campaign for At-Risk Segment</w:t>
      </w:r>
    </w:p>
    <w:p w:rsidR="00B1219B" w:rsidRDefault="00B1219B" w:rsidP="00B1219B">
      <w:pPr>
        <w:spacing w:after="160"/>
      </w:pPr>
      <w:r w:rsidRPr="00B1219B">
        <w:rPr>
          <w:b/>
        </w:rPr>
        <w:t>Target:</w:t>
      </w:r>
      <w:r>
        <w:t xml:space="preserve"> 238 At-Risk customers | Revenue Exposure: ₹35.4M | Expected Intervention Cost: ₹2M–3M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</w:rPr>
        <w:t>Campaign Design: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Email Sequence:</w:t>
      </w:r>
      <w:r>
        <w:t xml:space="preserve"> 3 touches over 14 days </w:t>
      </w:r>
    </w:p>
    <w:p w:rsidR="00B1219B" w:rsidRDefault="00B1219B" w:rsidP="00B1219B">
      <w:pPr>
        <w:spacing w:after="160"/>
      </w:pPr>
      <w:r>
        <w:t>o</w:t>
      </w:r>
      <w:r>
        <w:tab/>
        <w:t>Day 1: "We miss you" + product recommendation (based on past purchase history)</w:t>
      </w:r>
    </w:p>
    <w:p w:rsidR="00B1219B" w:rsidRDefault="00B1219B" w:rsidP="00B1219B">
      <w:pPr>
        <w:spacing w:after="160"/>
      </w:pPr>
      <w:r>
        <w:t>o</w:t>
      </w:r>
      <w:r>
        <w:tab/>
        <w:t>Day 7: Limited-time 15% discount coupon (expires Day 21)</w:t>
      </w:r>
    </w:p>
    <w:p w:rsidR="00B1219B" w:rsidRDefault="00B1219B" w:rsidP="00B1219B">
      <w:pPr>
        <w:spacing w:after="160"/>
      </w:pPr>
      <w:r>
        <w:t>o</w:t>
      </w:r>
      <w:r>
        <w:tab/>
        <w:t>Day 14: Loyalty program enrollment (earn 2% cash back on next order) + free shipping threshold (₹2K min order)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Segmentation within At-Risk: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High-spend At-Risk (Monetary ≥ ₹200K): Personalized phone outreach + ₹500 discount</w:t>
      </w:r>
    </w:p>
    <w:p w:rsidR="00B1219B" w:rsidRDefault="00B1219B" w:rsidP="00B1219B">
      <w:pPr>
        <w:spacing w:after="160"/>
      </w:pPr>
      <w:r>
        <w:t>o</w:t>
      </w:r>
      <w:r>
        <w:tab/>
        <w:t>Low-spend At-Risk (Monetary &lt; ₹50K): Email-only campaign + smaller incentive (₹100 discount)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Conservative: 10–15% re-purchase rate = 24–36 customers × ₹149K avg = ₹3.6M–5.4M incremental revenue</w:t>
      </w:r>
    </w:p>
    <w:p w:rsidR="00B1219B" w:rsidRDefault="00B1219B" w:rsidP="00B1219B">
      <w:pPr>
        <w:spacing w:after="160"/>
      </w:pPr>
      <w:r>
        <w:t>o</w:t>
      </w:r>
      <w:r>
        <w:tab/>
        <w:t>Cost per customer: ₹8K–12K (email + discount payout)</w:t>
      </w:r>
    </w:p>
    <w:p w:rsidR="00B1219B" w:rsidRDefault="00B1219B" w:rsidP="00B1219B">
      <w:pPr>
        <w:spacing w:after="160"/>
      </w:pPr>
      <w:r>
        <w:t>o</w:t>
      </w:r>
      <w:r>
        <w:tab/>
        <w:t>ROI: 3:1 to 5:1 (not including lifetime value of repeat conversions)</w:t>
      </w:r>
    </w:p>
    <w:p w:rsidR="00B1219B" w:rsidRDefault="00B1219B" w:rsidP="00B1219B">
      <w:pPr>
        <w:pStyle w:val="Heading2"/>
      </w:pPr>
      <w:r>
        <w:t>5.2 Short-Term Initiative (30–90 days): Champions VIP Program &amp; Loyal Customer Upsell</w:t>
      </w:r>
    </w:p>
    <w:p w:rsidR="00B1219B" w:rsidRDefault="00B1219B" w:rsidP="00B1219B">
      <w:pPr>
        <w:spacing w:after="160"/>
      </w:pPr>
      <w:r w:rsidRPr="00B1219B">
        <w:rPr>
          <w:b/>
          <w:sz w:val="24"/>
        </w:rPr>
        <w:t>Track A — Champions Lock-In (35 customers, ₹12.3M annual value</w:t>
      </w:r>
      <w:r>
        <w:t>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Offering: Platinum Tier Loyalty (exclusive)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5% cash back on all purchases (vs. standard 1%)</w:t>
      </w:r>
    </w:p>
    <w:p w:rsidR="00B1219B" w:rsidRDefault="00B1219B" w:rsidP="00B1219B">
      <w:pPr>
        <w:spacing w:after="160"/>
      </w:pPr>
      <w:r>
        <w:t>o</w:t>
      </w:r>
      <w:r>
        <w:tab/>
        <w:t>Quarterly business review call (dedicated account manager)</w:t>
      </w:r>
    </w:p>
    <w:p w:rsidR="00B1219B" w:rsidRDefault="00B1219B" w:rsidP="00B1219B">
      <w:pPr>
        <w:spacing w:after="160"/>
      </w:pPr>
      <w:r>
        <w:t>o</w:t>
      </w:r>
      <w:r>
        <w:tab/>
        <w:t>48-hour early access to new product launches</w:t>
      </w:r>
    </w:p>
    <w:p w:rsidR="00B1219B" w:rsidRDefault="00B1219B" w:rsidP="00B1219B">
      <w:pPr>
        <w:spacing w:after="160"/>
      </w:pPr>
      <w:r>
        <w:t>o</w:t>
      </w:r>
      <w:r>
        <w:tab/>
        <w:t>Free shipping on all orders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Retention uplift: +10–15% incremental spend = ₹1.2M–1.8M annual</w:t>
      </w:r>
    </w:p>
    <w:p w:rsidR="00B1219B" w:rsidRDefault="00B1219B" w:rsidP="00B1219B">
      <w:pPr>
        <w:spacing w:after="160"/>
      </w:pPr>
      <w:r>
        <w:t>o</w:t>
      </w:r>
      <w:r>
        <w:tab/>
        <w:t>Cost: ₹200K dedicated resource + ₹600K–900K loyalty payout</w:t>
      </w:r>
    </w:p>
    <w:p w:rsidR="00B1219B" w:rsidRDefault="00B1219B" w:rsidP="00B1219B">
      <w:pPr>
        <w:spacing w:after="160"/>
      </w:pPr>
      <w:r>
        <w:t>o</w:t>
      </w:r>
      <w:r>
        <w:tab/>
        <w:t>ROI: 2:1 (pure retention value; brand advocacy upside)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Track B — Loyal Customers Cross-Sell (200 customers, ₹29.2M)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Offering: Tiered Rewards Program (3-tier)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Tier 1 (1–2 purchases): 1% cash back</w:t>
      </w:r>
    </w:p>
    <w:p w:rsidR="00B1219B" w:rsidRDefault="00B1219B" w:rsidP="00B1219B">
      <w:pPr>
        <w:spacing w:after="160"/>
      </w:pPr>
      <w:r>
        <w:t>o</w:t>
      </w:r>
      <w:r>
        <w:tab/>
        <w:t>Tier 2 (3–5 purchases): 3% cash back + birthday coupon</w:t>
      </w:r>
    </w:p>
    <w:p w:rsidR="00B1219B" w:rsidRDefault="00B1219B" w:rsidP="00B1219B">
      <w:pPr>
        <w:spacing w:after="160"/>
      </w:pPr>
      <w:r>
        <w:t>o</w:t>
      </w:r>
      <w:r>
        <w:tab/>
        <w:t>Tier 3 (6+ purchases): 5% cash back + exclusive access</w:t>
      </w:r>
    </w:p>
    <w:p w:rsidR="00B1219B" w:rsidRDefault="00B1219B" w:rsidP="00B1219B">
      <w:pPr>
        <w:spacing w:after="160"/>
      </w:pPr>
      <w:r>
        <w:lastRenderedPageBreak/>
        <w:t>•</w:t>
      </w:r>
      <w:r>
        <w:tab/>
      </w:r>
      <w:r w:rsidRPr="00B1219B">
        <w:rPr>
          <w:b/>
        </w:rPr>
        <w:t>Channel:</w:t>
      </w:r>
      <w:r>
        <w:t xml:space="preserve"> Automated emails (purchase-triggered) + SMS reminders for upcoming birthdays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Repeat purchase rate increase: +5–10% = ₹1.5M–2.9M incremental</w:t>
      </w:r>
    </w:p>
    <w:p w:rsidR="00B1219B" w:rsidRDefault="00B1219B" w:rsidP="00B1219B">
      <w:pPr>
        <w:spacing w:after="160"/>
      </w:pPr>
      <w:r>
        <w:t>o</w:t>
      </w:r>
      <w:r>
        <w:tab/>
        <w:t>Cost: ₹500K program setup + ₹1.5M annual payout</w:t>
      </w:r>
    </w:p>
    <w:p w:rsidR="00B1219B" w:rsidRDefault="00B1219B" w:rsidP="00B1219B">
      <w:pPr>
        <w:spacing w:after="160"/>
      </w:pPr>
      <w:r>
        <w:t>o</w:t>
      </w:r>
      <w:r>
        <w:tab/>
        <w:t>ROI: 1.5:1 to 2:1 (justified by improved retention and LTV)</w:t>
      </w:r>
    </w:p>
    <w:p w:rsidR="00B1219B" w:rsidRDefault="00B1219B" w:rsidP="00B1219B">
      <w:pPr>
        <w:pStyle w:val="Heading2"/>
      </w:pPr>
      <w:r>
        <w:t>5.3 Medium-Term Initiative (60–90 days): New / Recent Customer Conversion Sprint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Target: 111 New / Recent customers (avg 42 days, Frequency = 1.0 each)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Campaign:</w:t>
      </w:r>
      <w:r>
        <w:t xml:space="preserve"> Automated Second-Purchase Incentive </w:t>
      </w:r>
    </w:p>
    <w:p w:rsidR="00B1219B" w:rsidRDefault="00B1219B" w:rsidP="00B1219B">
      <w:pPr>
        <w:spacing w:after="160"/>
      </w:pPr>
      <w:r>
        <w:t>o</w:t>
      </w:r>
      <w:r>
        <w:tab/>
      </w:r>
      <w:r w:rsidRPr="00B1219B">
        <w:t>Trigger:</w:t>
      </w:r>
      <w:r>
        <w:t xml:space="preserve"> Day 7 post-first-order</w:t>
      </w:r>
    </w:p>
    <w:p w:rsidR="00B1219B" w:rsidRDefault="00B1219B" w:rsidP="00B1219B">
      <w:pPr>
        <w:spacing w:after="160"/>
      </w:pPr>
      <w:r>
        <w:t>o</w:t>
      </w:r>
      <w:r>
        <w:tab/>
        <w:t>Email content: "Complete your collection with 20% off" + 3 personalized product recommendations (complement to first purchase)</w:t>
      </w:r>
    </w:p>
    <w:p w:rsidR="00B1219B" w:rsidRDefault="00B1219B" w:rsidP="00B1219B">
      <w:pPr>
        <w:spacing w:after="160"/>
      </w:pPr>
      <w:r>
        <w:t>o</w:t>
      </w:r>
      <w:r>
        <w:tab/>
        <w:t>Offer: ₹500–₹1K discount, threshold ₹5K minimum order, valid 30 days</w:t>
      </w:r>
    </w:p>
    <w:p w:rsidR="00B1219B" w:rsidRDefault="00B1219B" w:rsidP="00B1219B">
      <w:pPr>
        <w:spacing w:after="160"/>
      </w:pPr>
      <w:r>
        <w:t>o</w:t>
      </w:r>
      <w:r>
        <w:tab/>
        <w:t>SMS reminder: Day 14 and Day 21 (for non-openers)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Second-purchase conversion rate: 20–30% (industry benchmark for engaged first-time buyers)</w:t>
      </w:r>
    </w:p>
    <w:p w:rsidR="00B1219B" w:rsidRDefault="00B1219B" w:rsidP="00B1219B">
      <w:pPr>
        <w:spacing w:after="160"/>
      </w:pPr>
      <w:r>
        <w:t>o</w:t>
      </w:r>
      <w:r>
        <w:tab/>
        <w:t>22–33 repeat orders at ₹139K AOV = ₹3.1M–4.6M incremental revenue</w:t>
      </w:r>
    </w:p>
    <w:p w:rsidR="00B1219B" w:rsidRDefault="00B1219B" w:rsidP="00B1219B">
      <w:pPr>
        <w:spacing w:after="160"/>
      </w:pPr>
      <w:r>
        <w:t>o</w:t>
      </w:r>
      <w:r>
        <w:tab/>
        <w:t>Cost: ₹15–20 email + SMS per customer + ₹500–1K discount per converter = ₹35K–45K total</w:t>
      </w:r>
    </w:p>
    <w:p w:rsidR="00B1219B" w:rsidRDefault="00B1219B" w:rsidP="00B1219B">
      <w:pPr>
        <w:spacing w:after="160"/>
      </w:pPr>
      <w:r>
        <w:t>o</w:t>
      </w:r>
      <w:r>
        <w:tab/>
        <w:t>ROI: 85:1 to 130:1 (highest ROI of all campaigns)</w:t>
      </w:r>
    </w:p>
    <w:p w:rsidR="00B1219B" w:rsidRDefault="00B1219B" w:rsidP="00B1219B">
      <w:pPr>
        <w:pStyle w:val="Heading2"/>
      </w:pPr>
      <w:r>
        <w:t>5.4 Strategic Initiative (90–180 days): Potential Loyalist Re-Engagement &amp; Electronics Concentration Mitigation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Track A — Potential Loyalist Reactivation (244 customers, ₹40.6M, 6.8mo+ dormant)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Campaign: Loyalty Program Relaunch + Exclusive Re-entry Offer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Email: "Introducing [ApexPlanet] Rewards — Earn 2% back on every purchase (including past ones)"</w:t>
      </w:r>
    </w:p>
    <w:p w:rsidR="00B1219B" w:rsidRDefault="00B1219B" w:rsidP="00B1219B">
      <w:pPr>
        <w:spacing w:after="160"/>
      </w:pPr>
      <w:r>
        <w:t>o</w:t>
      </w:r>
      <w:r>
        <w:tab/>
        <w:t>Incentive: Retroactive 500 reward points (₹500 value) for every past order upon enrollment</w:t>
      </w:r>
    </w:p>
    <w:p w:rsidR="00B1219B" w:rsidRDefault="00B1219B" w:rsidP="00B1219B">
      <w:pPr>
        <w:spacing w:after="160"/>
      </w:pPr>
      <w:r>
        <w:t>o</w:t>
      </w:r>
      <w:r>
        <w:tab/>
        <w:t>Exclusive benefit: 48-hour early-access sale (pre-sale ends at 2 days, then public launch)</w:t>
      </w:r>
    </w:p>
    <w:p w:rsidR="00B1219B" w:rsidRDefault="00B1219B" w:rsidP="00B1219B">
      <w:pPr>
        <w:spacing w:after="160"/>
      </w:pPr>
      <w:r>
        <w:t>o</w:t>
      </w:r>
      <w:r>
        <w:tab/>
        <w:t>Messaging: Category-specific ("We've updated our Education catalog since your last visit") + scarcity ("Only 3 spots left in Bengaluru for exclusive preview")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Re-engagement rate: 25–30% = 61–73 customers re-purchase</w:t>
      </w:r>
    </w:p>
    <w:p w:rsidR="00B1219B" w:rsidRDefault="00B1219B" w:rsidP="00B1219B">
      <w:pPr>
        <w:spacing w:after="160"/>
      </w:pPr>
      <w:r>
        <w:t>o</w:t>
      </w:r>
      <w:r>
        <w:tab/>
        <w:t>Average re-purchase value: ₹140K (near portfolio average)</w:t>
      </w:r>
    </w:p>
    <w:p w:rsidR="00B1219B" w:rsidRDefault="00B1219B" w:rsidP="00B1219B">
      <w:pPr>
        <w:spacing w:after="160"/>
      </w:pPr>
      <w:r>
        <w:t>o</w:t>
      </w:r>
      <w:r>
        <w:tab/>
        <w:t>Incremental revenue: ₹8.6M–10.2M</w:t>
      </w:r>
    </w:p>
    <w:p w:rsidR="00B1219B" w:rsidRDefault="00B1219B" w:rsidP="00B1219B">
      <w:pPr>
        <w:spacing w:after="160"/>
      </w:pPr>
      <w:r>
        <w:t>o</w:t>
      </w:r>
      <w:r>
        <w:tab/>
        <w:t>Cost: ₹2.5M retroactive points + ₹300K campaign + ₹500K loyalty platform enhancement = ₹3.3M</w:t>
      </w:r>
    </w:p>
    <w:p w:rsidR="00B1219B" w:rsidRDefault="00B1219B" w:rsidP="00B1219B">
      <w:pPr>
        <w:spacing w:after="160"/>
      </w:pPr>
      <w:r>
        <w:t>o</w:t>
      </w:r>
      <w:r>
        <w:tab/>
        <w:t>ROI: 2.6:1 to 3.1:1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lastRenderedPageBreak/>
        <w:t>Track B — Electronics Concentration Risk Mitigation (₹50.78M, 36.4% of total)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 xml:space="preserve">Bundle Strategy: Cross-Category Bundling </w:t>
      </w:r>
    </w:p>
    <w:p w:rsidR="00B1219B" w:rsidRDefault="00B1219B" w:rsidP="00B1219B">
      <w:pPr>
        <w:spacing w:after="160"/>
      </w:pPr>
      <w:r>
        <w:t>o</w:t>
      </w:r>
      <w:r>
        <w:tab/>
        <w:t>Offer: "Electronics + Education Bundle" — 10% off when purchasing from both categories in one order</w:t>
      </w:r>
    </w:p>
    <w:p w:rsidR="00B1219B" w:rsidRDefault="00B1219B" w:rsidP="00B1219B">
      <w:pPr>
        <w:spacing w:after="160"/>
      </w:pPr>
      <w:r>
        <w:t>o</w:t>
      </w:r>
      <w:r>
        <w:tab/>
        <w:t>Promotion: In-email recommendations for Electronics buyers (e.g., "Laptop buyers also purchased: Online Python Course")</w:t>
      </w:r>
    </w:p>
    <w:p w:rsidR="00B1219B" w:rsidRDefault="00B1219B" w:rsidP="00B1219B">
      <w:pPr>
        <w:spacing w:after="160"/>
      </w:pPr>
      <w:r>
        <w:t>o</w:t>
      </w:r>
      <w:r>
        <w:tab/>
        <w:t>Inventory tie-in: Ensure Education/Furniture stock aligns with Electronics promotional calendar</w:t>
      </w:r>
    </w:p>
    <w:p w:rsidR="00B1219B" w:rsidRDefault="00B1219B" w:rsidP="00B1219B">
      <w:pPr>
        <w:spacing w:after="160"/>
      </w:pPr>
      <w:r>
        <w:t>•</w:t>
      </w:r>
      <w:r>
        <w:tab/>
      </w:r>
      <w:r w:rsidRPr="00B1219B">
        <w:rPr>
          <w:b/>
        </w:rPr>
        <w:t>Expected Outcomes:</w:t>
      </w:r>
      <w:r>
        <w:t xml:space="preserve"> </w:t>
      </w:r>
    </w:p>
    <w:p w:rsidR="00B1219B" w:rsidRDefault="00B1219B" w:rsidP="00B1219B">
      <w:pPr>
        <w:spacing w:after="160"/>
      </w:pPr>
      <w:r>
        <w:t>o</w:t>
      </w:r>
      <w:r>
        <w:tab/>
        <w:t>Category shift: 5–10% of Electronics revenue to adjacent categories = ₹2.5M–5M incremental</w:t>
      </w:r>
    </w:p>
    <w:p w:rsidR="00B1219B" w:rsidRDefault="00B1219B" w:rsidP="00B1219B">
      <w:pPr>
        <w:spacing w:after="160"/>
      </w:pPr>
      <w:r>
        <w:t>o</w:t>
      </w:r>
      <w:r>
        <w:tab/>
        <w:t>Concentration reduction: Electronics from 36.4% → 32% of portfolio (lowers cliff risk)</w:t>
      </w:r>
    </w:p>
    <w:p w:rsidR="00B1219B" w:rsidRDefault="00B1219B" w:rsidP="00B1219B">
      <w:pPr>
        <w:spacing w:after="160"/>
      </w:pPr>
      <w:r>
        <w:t>o</w:t>
      </w:r>
      <w:r>
        <w:tab/>
        <w:t>Cost: ₹1M promotional discount + ₹500K marketing creative + operations coordination</w:t>
      </w:r>
    </w:p>
    <w:p w:rsidR="003C53FF" w:rsidRDefault="00B1219B" w:rsidP="00B1219B">
      <w:pPr>
        <w:spacing w:after="160"/>
      </w:pPr>
      <w:r>
        <w:t>o</w:t>
      </w:r>
      <w:r>
        <w:tab/>
        <w:t>Benefit: Risk mitigation (supply/price disruption is now 32% cliff instead of 36%)</w:t>
      </w:r>
    </w:p>
    <w:p w:rsidR="003C53FF" w:rsidRDefault="005039EA">
      <w:pPr>
        <w:pStyle w:val="Heading1"/>
        <w:spacing w:before="300" w:after="150"/>
      </w:pPr>
      <w:r>
        <w:t xml:space="preserve">6. </w:t>
      </w:r>
      <w:r w:rsidR="00B1219B" w:rsidRPr="00B1219B">
        <w:t>Dashboard Implementation Notes &amp; Validation</w:t>
      </w:r>
    </w:p>
    <w:p w:rsidR="00B1219B" w:rsidRDefault="00B1219B" w:rsidP="00B1219B">
      <w:pPr>
        <w:pStyle w:val="Heading2"/>
      </w:pPr>
      <w:r>
        <w:t>6.1 Data Model Reconciliation</w:t>
      </w:r>
    </w:p>
    <w:p w:rsidR="00B1219B" w:rsidRPr="00B1219B" w:rsidRDefault="00B1219B" w:rsidP="00B1219B">
      <w:pPr>
        <w:spacing w:after="160"/>
        <w:rPr>
          <w:b/>
        </w:rPr>
      </w:pPr>
      <w:r w:rsidRPr="00B1219B">
        <w:rPr>
          <w:b/>
          <w:sz w:val="24"/>
        </w:rPr>
        <w:t>Critical Validation Result:</w:t>
      </w:r>
    </w:p>
    <w:p w:rsidR="00B1219B" w:rsidRDefault="00B1219B" w:rsidP="00B1219B">
      <w:pPr>
        <w:spacing w:after="160"/>
      </w:pPr>
      <w:r>
        <w:t>Sales Revenue (cleaned_sales_data)     : ₹139,399,439.65</w:t>
      </w:r>
    </w:p>
    <w:p w:rsidR="00B1219B" w:rsidRDefault="00B1219B" w:rsidP="00B1219B">
      <w:pPr>
        <w:spacing w:after="160"/>
      </w:pPr>
      <w:r>
        <w:t>RFM Monetary (customer_rfm_segments)   : ₹139,399,439.65</w:t>
      </w:r>
    </w:p>
    <w:p w:rsidR="00B1219B" w:rsidRDefault="00B1219B" w:rsidP="00B1219B">
      <w:pPr>
        <w:spacing w:after="160"/>
      </w:pPr>
      <w:r>
        <w:t xml:space="preserve">Match                                  : </w:t>
      </w:r>
      <w:r>
        <w:rPr>
          <w:rFonts w:ascii="Segoe UI Symbol" w:hAnsi="Segoe UI Symbol" w:cs="Segoe UI Symbol"/>
        </w:rPr>
        <w:t>✓</w:t>
      </w:r>
      <w:r>
        <w:t xml:space="preserve"> 100% Exact</w:t>
      </w:r>
    </w:p>
    <w:p w:rsidR="00B1219B" w:rsidRDefault="00B1219B" w:rsidP="00B1219B">
      <w:pPr>
        <w:spacing w:after="160"/>
      </w:pPr>
      <w:r>
        <w:t>Sum of RFM Frequency = 1,000 distinct orders (matches cleaned_sales_data order count exactly). This reconciliation confirms data pipeline integrity.</w:t>
      </w:r>
    </w:p>
    <w:p w:rsidR="00B1219B" w:rsidRDefault="00B1219B" w:rsidP="00B1219B">
      <w:pPr>
        <w:pStyle w:val="Heading2"/>
      </w:pPr>
      <w:r>
        <w:t>6.2 Reporting Period &amp; 2026 Data</w:t>
      </w:r>
    </w:p>
    <w:p w:rsidR="00B1219B" w:rsidRDefault="00B1219B" w:rsidP="00B1219B">
      <w:pPr>
        <w:spacing w:after="160"/>
      </w:pPr>
      <w:r w:rsidRPr="00B1219B">
        <w:rPr>
          <w:b/>
        </w:rPr>
        <w:t>Status:</w:t>
      </w:r>
      <w:r>
        <w:t xml:space="preserve"> Dashboard header updated to "Jan 2025 – Jan 2026" to reflect inclusion of 5 transactions dated 2026-01-01.</w:t>
      </w:r>
    </w:p>
    <w:p w:rsidR="00B1219B" w:rsidRDefault="00B1219B" w:rsidP="00B1219B">
      <w:pPr>
        <w:spacing w:after="160"/>
      </w:pPr>
      <w:r w:rsidRPr="00B1219B">
        <w:rPr>
          <w:b/>
        </w:rPr>
        <w:t>RFM Snapshot Logic:</w:t>
      </w:r>
      <w:r>
        <w:t xml:space="preserve"> Snapshot date = MAX(Order_Date) + 1 day = 2026-01-02. All 1,000 orders (including 5 from 2026-01-01) are included in RFM calculations.</w:t>
      </w:r>
    </w:p>
    <w:p w:rsidR="00B1219B" w:rsidRDefault="00B1219B" w:rsidP="00B1219B">
      <w:pPr>
        <w:spacing w:after="160"/>
      </w:pPr>
      <w:r w:rsidRPr="00B1219B">
        <w:rPr>
          <w:b/>
        </w:rPr>
        <w:t>Decision:</w:t>
      </w:r>
      <w:r>
        <w:t xml:space="preserve"> Full dataset inclusive model (not filtered to 2025-only). Data is clean and audit trail is preserved via Order_ID_Flag column.</w:t>
      </w:r>
    </w:p>
    <w:p w:rsidR="00B1219B" w:rsidRDefault="00B1219B" w:rsidP="00B1219B">
      <w:pPr>
        <w:pStyle w:val="Heading2"/>
      </w:pPr>
      <w:r>
        <w:t>6.3 Technical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4"/>
        <w:gridCol w:w="3354"/>
        <w:gridCol w:w="3362"/>
      </w:tblGrid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Component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Technology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Role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Raw Data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Excel (.xlsx) → CSV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ApexPlanet_DataAnalytics_Dataset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Transformation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Query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Data cleaning, derived fields (Order_Month_Name, Age_Group, Category_Sort)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RFM Pipeline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SQL / BigQuery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Customer-level aggregation &amp; NTILE(4) scoring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lastRenderedPageBreak/>
              <w:t>Dashboard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BI Desktop / Service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Visualization layer; 2 pages, 8 visuals, 6 slicers</w:t>
            </w:r>
          </w:p>
        </w:tc>
      </w:tr>
      <w:tr w:rsidR="00B1219B" w:rsidRPr="00B1219B" w:rsidTr="00B1219B">
        <w:tc>
          <w:tcPr>
            <w:tcW w:w="3356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DAX Engine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BI</w:t>
            </w:r>
          </w:p>
        </w:tc>
        <w:tc>
          <w:tcPr>
            <w:tcW w:w="3357" w:type="dxa"/>
          </w:tcPr>
          <w:p w:rsidR="00B1219B" w:rsidRPr="00B1219B" w:rsidRDefault="00B1219B" w:rsidP="00B1219B">
            <w:pPr>
              <w:spacing w:after="160"/>
            </w:pPr>
            <w:r w:rsidRPr="00B1219B">
              <w:t>17 measures (revenue, RFM, MoM calculations).</w:t>
            </w:r>
          </w:p>
        </w:tc>
      </w:tr>
    </w:tbl>
    <w:p w:rsidR="003C53FF" w:rsidRDefault="005039EA">
      <w:pPr>
        <w:pStyle w:val="Heading1"/>
        <w:spacing w:before="300" w:after="150"/>
      </w:pPr>
      <w:r>
        <w:t xml:space="preserve">7. </w:t>
      </w:r>
      <w:r w:rsidR="00B1219B" w:rsidRPr="00B1219B">
        <w:t>Visual Attachments &amp; Screenshots Required for Portfolio</w:t>
      </w:r>
    </w:p>
    <w:p w:rsidR="00B1219B" w:rsidRDefault="00B1219B" w:rsidP="00B1219B">
      <w:pPr>
        <w:spacing w:after="220"/>
      </w:pPr>
      <w:r>
        <w:t>The following screenshots should be appended to this report when submitting for portfolio/GitHub: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690"/>
        <w:gridCol w:w="4461"/>
        <w:gridCol w:w="2845"/>
      </w:tblGrid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#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Visual / Page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Filename Convention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Content to Capture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1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Full Dashboard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ApexPlanet_Executive_Overview.jpg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Entire Page 1 including KPI strip, all 4 charts, slicer panel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2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Full Dashboard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ApexPlanet_Segmentation_DeepDive.jpg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Entire Page 2 including RFM KPIs, all 4 visuals, slicer panel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3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Revenue Trend Zoom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ApexPlanet_Revenue_Trend_Detail.jpg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Close-up of combo chart showing monthly pattern + dual-axis labels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4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1 AOV Heatmap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ApexPlanet_AOV_Density_Matrix.jpg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City × Category matrix showing pricing variance by region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5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Scatter Plot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ApexPlanet_Recency_vs_Monetary_Scatter.jpg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Customer Value vs Recency with segment color clustering visible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6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Page 2 Segment×City Heatmap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ApexPlanet_Segment_City_Distribution.jpg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City × Segment matrix showing geographic concentration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7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Power Query Transformations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ApexPlanet_PowerQuery_Steps.jpg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Screenshot of Applied Steps panel showing data pipeline</w:t>
            </w:r>
          </w:p>
        </w:tc>
      </w:tr>
      <w:tr w:rsidR="00B1219B" w:rsidRP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8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DAX Measure Library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ApexPlanet_DAX_Measures_Panel.jpg</w:t>
            </w:r>
          </w:p>
        </w:tc>
        <w:tc>
          <w:tcPr>
            <w:tcW w:w="2845" w:type="dxa"/>
          </w:tcPr>
          <w:p w:rsidR="00B1219B" w:rsidRPr="00B1219B" w:rsidRDefault="00B1219B" w:rsidP="00B1219B">
            <w:pPr>
              <w:spacing w:after="160"/>
            </w:pPr>
            <w:r w:rsidRPr="00B1219B">
              <w:t>Field list showing all 17 custom measures</w:t>
            </w:r>
          </w:p>
        </w:tc>
      </w:tr>
      <w:tr w:rsidR="00B1219B" w:rsidTr="00B1219B">
        <w:tc>
          <w:tcPr>
            <w:tcW w:w="1074" w:type="dxa"/>
          </w:tcPr>
          <w:p w:rsidR="00B1219B" w:rsidRPr="00B1219B" w:rsidRDefault="00B1219B" w:rsidP="00B1219B">
            <w:pPr>
              <w:spacing w:after="160"/>
            </w:pPr>
            <w:r w:rsidRPr="00B1219B">
              <w:t>9</w:t>
            </w:r>
          </w:p>
        </w:tc>
        <w:tc>
          <w:tcPr>
            <w:tcW w:w="1690" w:type="dxa"/>
          </w:tcPr>
          <w:p w:rsidR="00B1219B" w:rsidRPr="00B1219B" w:rsidRDefault="00B1219B" w:rsidP="00B1219B">
            <w:pPr>
              <w:spacing w:after="160"/>
            </w:pPr>
            <w:r w:rsidRPr="00B1219B">
              <w:t>Model View</w:t>
            </w:r>
          </w:p>
        </w:tc>
        <w:tc>
          <w:tcPr>
            <w:tcW w:w="4461" w:type="dxa"/>
          </w:tcPr>
          <w:p w:rsidR="00B1219B" w:rsidRPr="00B1219B" w:rsidRDefault="00B1219B" w:rsidP="00B1219B">
            <w:pPr>
              <w:spacing w:after="160"/>
            </w:pPr>
            <w:r w:rsidRPr="00B1219B">
              <w:t>ApexPlanet_Data_Model_Relationship.jpg</w:t>
            </w:r>
          </w:p>
        </w:tc>
        <w:tc>
          <w:tcPr>
            <w:tcW w:w="2845" w:type="dxa"/>
          </w:tcPr>
          <w:p w:rsidR="00B1219B" w:rsidRDefault="00B1219B" w:rsidP="00B1219B">
            <w:pPr>
              <w:spacing w:after="160"/>
            </w:pPr>
            <w:r w:rsidRPr="00B1219B">
              <w:t>Relationship diagram (cleaned_sales_data ←→ customer_rfm_segments).</w:t>
            </w:r>
          </w:p>
        </w:tc>
      </w:tr>
    </w:tbl>
    <w:p w:rsidR="003C53FF" w:rsidRDefault="003C53FF" w:rsidP="00B1219B">
      <w:pPr>
        <w:spacing w:after="160"/>
      </w:pPr>
    </w:p>
    <w:p w:rsidR="003C53FF" w:rsidRDefault="005039EA">
      <w:r>
        <w:br w:type="page"/>
      </w:r>
    </w:p>
    <w:p w:rsidR="003C53FF" w:rsidRDefault="005039EA">
      <w:pPr>
        <w:pStyle w:val="Heading1"/>
        <w:spacing w:before="300" w:after="150"/>
      </w:pPr>
      <w:r>
        <w:lastRenderedPageBreak/>
        <w:t xml:space="preserve">8. </w:t>
      </w:r>
      <w:r w:rsidR="00B1219B" w:rsidRPr="00B1219B">
        <w:t>Conclusion</w:t>
      </w:r>
    </w:p>
    <w:p w:rsidR="00B1219B" w:rsidRDefault="00B1219B" w:rsidP="00B1219B">
      <w:r>
        <w:t>ApexPlanet's Power BI dashboard delivers a balanced two-lens analysis: executive-level sales performance and granular customer behavioral segmentation. The data validates three critical findings:</w:t>
      </w:r>
    </w:p>
    <w:p w:rsidR="00B1219B" w:rsidRDefault="00B1219B" w:rsidP="00B1219B">
      <w:r w:rsidRPr="00B1219B">
        <w:rPr>
          <w:b/>
        </w:rPr>
        <w:t>At-Risk Revenue (₹35.4M) is immediately actionable:</w:t>
      </w:r>
      <w:r>
        <w:t xml:space="preserve"> Win-back campaigns target 238 customers with proven ROI (3–5:1 expected return on ₹2M–3M spend).</w:t>
      </w:r>
    </w:p>
    <w:p w:rsidR="00B1219B" w:rsidRDefault="00B1219B" w:rsidP="00B1219B">
      <w:r w:rsidRPr="002E7ECA">
        <w:rPr>
          <w:b/>
        </w:rPr>
        <w:t>Potential Loyalists (₹40.6M) are the largest revenue contributor but dormant:</w:t>
      </w:r>
      <w:r>
        <w:t xml:space="preserve"> Re-engagement at 25–30% conversion yields ₹8.6M–10.2M incremental at 2.6–3.1:1 ROI.</w:t>
      </w:r>
    </w:p>
    <w:p w:rsidR="00B1219B" w:rsidRDefault="00B1219B" w:rsidP="00B1219B">
      <w:r w:rsidRPr="002E7ECA">
        <w:rPr>
          <w:b/>
        </w:rPr>
        <w:t>Electronics concentration (36.4%) is a strategic risk:</w:t>
      </w:r>
      <w:r>
        <w:t xml:space="preserve"> Cross-category bundling can shift 5–10% to adjacent categories, reducing concentration from 36% to 32% without losing revenue.</w:t>
      </w:r>
    </w:p>
    <w:p w:rsidR="00B1219B" w:rsidRDefault="00B1219B" w:rsidP="00B1219B">
      <w:r>
        <w:t>The dashboard is production-ready, with locked segment colors, dynamic DAX calculations, and drill-through capability for account-level customer analysis. Data reconciliation is exact (₹139.4M across all three tables). Interactive slicers enable stakeholders to self-serve analysis by month, city, gender, and age without requiring analyst intervention.</w:t>
      </w:r>
    </w:p>
    <w:p w:rsidR="00B1219B" w:rsidRPr="002E7ECA" w:rsidRDefault="00B1219B" w:rsidP="00B1219B">
      <w:pPr>
        <w:rPr>
          <w:b/>
        </w:rPr>
      </w:pPr>
      <w:r w:rsidRPr="002E7ECA">
        <w:rPr>
          <w:b/>
        </w:rPr>
        <w:t>Recommended Next Steps:</w:t>
      </w:r>
    </w:p>
    <w:p w:rsidR="00B1219B" w:rsidRDefault="00B1219B" w:rsidP="00B1219B">
      <w:r>
        <w:t>Execute At-Risk win-back campaign (Week 1–2)</w:t>
      </w:r>
    </w:p>
    <w:p w:rsidR="00B1219B" w:rsidRDefault="00B1219B" w:rsidP="00B1219B">
      <w:r>
        <w:t>Launch Champions VIP program (Week 2–4)</w:t>
      </w:r>
    </w:p>
    <w:p w:rsidR="00B1219B" w:rsidRDefault="00B1219B" w:rsidP="00B1219B">
      <w:r>
        <w:t>Automate New / Recent second-purchase trigger (Week 3–4)</w:t>
      </w:r>
    </w:p>
    <w:p w:rsidR="00B1219B" w:rsidRDefault="00B1219B" w:rsidP="00B1219B">
      <w:r>
        <w:t>Begin Potential Loyalist re-engagement planning (Week 4–6)</w:t>
      </w:r>
    </w:p>
    <w:p w:rsidR="00B1219B" w:rsidRDefault="00B1219B" w:rsidP="00B1219B">
      <w:r>
        <w:t>________________________________________</w:t>
      </w:r>
    </w:p>
    <w:p w:rsidR="00B1219B" w:rsidRPr="002E7ECA" w:rsidRDefault="00B1219B" w:rsidP="00B1219B">
      <w:pPr>
        <w:rPr>
          <w:b/>
        </w:rPr>
      </w:pPr>
      <w:r w:rsidRPr="002E7ECA">
        <w:rPr>
          <w:b/>
        </w:rPr>
        <w:t>Appendices:</w:t>
      </w:r>
    </w:p>
    <w:p w:rsidR="00B1219B" w:rsidRDefault="00B1219B" w:rsidP="00B1219B">
      <w:r>
        <w:t>[Section 7 Visual Attachments — Screenshots to embed above]</w:t>
      </w:r>
    </w:p>
    <w:p w:rsidR="00B1219B" w:rsidRDefault="00B1219B" w:rsidP="00B1219B">
      <w:r>
        <w:t>Data Files: cleaned_sales_data.csv, customer_rfm_segments.csv (reference only; data lives in BigQuery aesthetic-fiber-504115-v4.apexplanet_sales_analysis)</w:t>
      </w:r>
    </w:p>
    <w:p w:rsidR="00B1219B" w:rsidRDefault="00B1219B" w:rsidP="00B1219B">
      <w:r>
        <w:t>Technical Documentation: Full Power BI Technical Documentation Report (14,000+ words; schema, RFM SQL, DAX formulas, data quality findings)</w:t>
      </w:r>
    </w:p>
    <w:p w:rsidR="00B1219B" w:rsidRDefault="00B1219B" w:rsidP="00B1219B">
      <w:r>
        <w:t>________________________________________</w:t>
      </w:r>
    </w:p>
    <w:p w:rsidR="00B1219B" w:rsidRDefault="00B1219B" w:rsidP="00B1219B">
      <w:r>
        <w:t>Report Prepared By: Brojo Mohan Dutta | Data Analyst, ApexPlanet Software Pvt. Ltd.</w:t>
      </w:r>
    </w:p>
    <w:p w:rsidR="00B1219B" w:rsidRDefault="00B1219B" w:rsidP="00B1219B">
      <w:r>
        <w:t>Date: September 16, 2026 | Internship Period: Aug 1 – Sept 30, 2026</w:t>
      </w:r>
    </w:p>
    <w:p w:rsidR="003C53FF" w:rsidRDefault="00B1219B" w:rsidP="00B1219B">
      <w:r>
        <w:t>Location: Konnagar, Hooghly, West Bengal, India</w:t>
      </w:r>
      <w:r w:rsidR="005039EA">
        <w:br w:type="page"/>
      </w:r>
      <w:bookmarkStart w:id="0" w:name="_GoBack"/>
      <w:bookmarkEnd w:id="0"/>
    </w:p>
    <w:sectPr w:rsidR="003C53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B3E" w:rsidRDefault="00672B3E">
      <w:r>
        <w:separator/>
      </w:r>
    </w:p>
  </w:endnote>
  <w:endnote w:type="continuationSeparator" w:id="0">
    <w:p w:rsidR="00672B3E" w:rsidRDefault="00672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19B" w:rsidRDefault="00B1219B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65A85">
      <w:rPr>
        <w:noProof/>
        <w:color w:val="888888"/>
        <w:sz w:val="16"/>
        <w:szCs w:val="16"/>
      </w:rPr>
      <w:t>17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B3E" w:rsidRDefault="00672B3E">
      <w:r>
        <w:separator/>
      </w:r>
    </w:p>
  </w:footnote>
  <w:footnote w:type="continuationSeparator" w:id="0">
    <w:p w:rsidR="00672B3E" w:rsidRDefault="00672B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219B" w:rsidRDefault="00B1219B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C18D6"/>
    <w:multiLevelType w:val="multilevel"/>
    <w:tmpl w:val="DB92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247CF"/>
    <w:multiLevelType w:val="multilevel"/>
    <w:tmpl w:val="44EE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635EDE"/>
    <w:multiLevelType w:val="multilevel"/>
    <w:tmpl w:val="496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C7908"/>
    <w:multiLevelType w:val="multilevel"/>
    <w:tmpl w:val="E56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B0A67"/>
    <w:multiLevelType w:val="multilevel"/>
    <w:tmpl w:val="974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3316AD"/>
    <w:multiLevelType w:val="multilevel"/>
    <w:tmpl w:val="5BA2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DF605F"/>
    <w:multiLevelType w:val="multilevel"/>
    <w:tmpl w:val="BFB4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ED7B51"/>
    <w:multiLevelType w:val="multilevel"/>
    <w:tmpl w:val="680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505EB1"/>
    <w:multiLevelType w:val="multilevel"/>
    <w:tmpl w:val="12C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8519B4"/>
    <w:multiLevelType w:val="multilevel"/>
    <w:tmpl w:val="A33E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9F00C0"/>
    <w:multiLevelType w:val="multilevel"/>
    <w:tmpl w:val="0DA6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DF0F8C"/>
    <w:multiLevelType w:val="multilevel"/>
    <w:tmpl w:val="1CB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BA5B65"/>
    <w:multiLevelType w:val="multilevel"/>
    <w:tmpl w:val="DD0C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CF1F44"/>
    <w:multiLevelType w:val="multilevel"/>
    <w:tmpl w:val="623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FA17F2"/>
    <w:multiLevelType w:val="multilevel"/>
    <w:tmpl w:val="8ED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1954F0"/>
    <w:multiLevelType w:val="multilevel"/>
    <w:tmpl w:val="800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17B9F"/>
    <w:multiLevelType w:val="multilevel"/>
    <w:tmpl w:val="94A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657D2D"/>
    <w:multiLevelType w:val="multilevel"/>
    <w:tmpl w:val="ECC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9661FB"/>
    <w:multiLevelType w:val="multilevel"/>
    <w:tmpl w:val="2D8C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A173F3"/>
    <w:multiLevelType w:val="multilevel"/>
    <w:tmpl w:val="17B8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9F0958"/>
    <w:multiLevelType w:val="multilevel"/>
    <w:tmpl w:val="32E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245EF"/>
    <w:multiLevelType w:val="hybridMultilevel"/>
    <w:tmpl w:val="6540B67C"/>
    <w:lvl w:ilvl="0" w:tplc="2E8ACC22">
      <w:start w:val="1"/>
      <w:numFmt w:val="bullet"/>
      <w:lvlText w:val="●"/>
      <w:lvlJc w:val="left"/>
      <w:pPr>
        <w:ind w:left="720" w:hanging="360"/>
      </w:pPr>
    </w:lvl>
    <w:lvl w:ilvl="1" w:tplc="C680B158">
      <w:start w:val="1"/>
      <w:numFmt w:val="bullet"/>
      <w:lvlText w:val="○"/>
      <w:lvlJc w:val="left"/>
      <w:pPr>
        <w:ind w:left="1440" w:hanging="360"/>
      </w:pPr>
    </w:lvl>
    <w:lvl w:ilvl="2" w:tplc="2A56B44E">
      <w:start w:val="1"/>
      <w:numFmt w:val="bullet"/>
      <w:lvlText w:val="■"/>
      <w:lvlJc w:val="left"/>
      <w:pPr>
        <w:ind w:left="2160" w:hanging="360"/>
      </w:pPr>
    </w:lvl>
    <w:lvl w:ilvl="3" w:tplc="9C4C917A">
      <w:start w:val="1"/>
      <w:numFmt w:val="bullet"/>
      <w:lvlText w:val="●"/>
      <w:lvlJc w:val="left"/>
      <w:pPr>
        <w:ind w:left="2880" w:hanging="360"/>
      </w:pPr>
    </w:lvl>
    <w:lvl w:ilvl="4" w:tplc="85E884E6">
      <w:start w:val="1"/>
      <w:numFmt w:val="bullet"/>
      <w:lvlText w:val="○"/>
      <w:lvlJc w:val="left"/>
      <w:pPr>
        <w:ind w:left="3600" w:hanging="360"/>
      </w:pPr>
    </w:lvl>
    <w:lvl w:ilvl="5" w:tplc="E230CEEA">
      <w:start w:val="1"/>
      <w:numFmt w:val="bullet"/>
      <w:lvlText w:val="■"/>
      <w:lvlJc w:val="left"/>
      <w:pPr>
        <w:ind w:left="4320" w:hanging="360"/>
      </w:pPr>
    </w:lvl>
    <w:lvl w:ilvl="6" w:tplc="62388EA0">
      <w:start w:val="1"/>
      <w:numFmt w:val="bullet"/>
      <w:lvlText w:val="●"/>
      <w:lvlJc w:val="left"/>
      <w:pPr>
        <w:ind w:left="5040" w:hanging="360"/>
      </w:pPr>
    </w:lvl>
    <w:lvl w:ilvl="7" w:tplc="0D8AE79E">
      <w:start w:val="1"/>
      <w:numFmt w:val="bullet"/>
      <w:lvlText w:val="●"/>
      <w:lvlJc w:val="left"/>
      <w:pPr>
        <w:ind w:left="5760" w:hanging="360"/>
      </w:pPr>
    </w:lvl>
    <w:lvl w:ilvl="8" w:tplc="328EF722">
      <w:start w:val="1"/>
      <w:numFmt w:val="bullet"/>
      <w:lvlText w:val="●"/>
      <w:lvlJc w:val="left"/>
      <w:pPr>
        <w:ind w:left="6480" w:hanging="360"/>
      </w:pPr>
    </w:lvl>
  </w:abstractNum>
  <w:abstractNum w:abstractNumId="22">
    <w:nsid w:val="70DA2FFF"/>
    <w:multiLevelType w:val="multilevel"/>
    <w:tmpl w:val="0E56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787E2D"/>
    <w:multiLevelType w:val="multilevel"/>
    <w:tmpl w:val="B874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363DF0"/>
    <w:multiLevelType w:val="multilevel"/>
    <w:tmpl w:val="D770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555E25"/>
    <w:multiLevelType w:val="multilevel"/>
    <w:tmpl w:val="F7F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2010D0"/>
    <w:multiLevelType w:val="multilevel"/>
    <w:tmpl w:val="77F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  <w:lvlOverride w:ilvl="0">
      <w:startOverride w:val="1"/>
    </w:lvlOverride>
  </w:num>
  <w:num w:numId="2">
    <w:abstractNumId w:val="17"/>
  </w:num>
  <w:num w:numId="3">
    <w:abstractNumId w:val="13"/>
  </w:num>
  <w:num w:numId="4">
    <w:abstractNumId w:val="2"/>
  </w:num>
  <w:num w:numId="5">
    <w:abstractNumId w:val="7"/>
  </w:num>
  <w:num w:numId="6">
    <w:abstractNumId w:val="6"/>
  </w:num>
  <w:num w:numId="7">
    <w:abstractNumId w:val="14"/>
  </w:num>
  <w:num w:numId="8">
    <w:abstractNumId w:val="18"/>
  </w:num>
  <w:num w:numId="9">
    <w:abstractNumId w:val="19"/>
  </w:num>
  <w:num w:numId="10">
    <w:abstractNumId w:val="12"/>
  </w:num>
  <w:num w:numId="11">
    <w:abstractNumId w:val="8"/>
  </w:num>
  <w:num w:numId="12">
    <w:abstractNumId w:val="11"/>
  </w:num>
  <w:num w:numId="13">
    <w:abstractNumId w:val="20"/>
  </w:num>
  <w:num w:numId="14">
    <w:abstractNumId w:val="26"/>
  </w:num>
  <w:num w:numId="15">
    <w:abstractNumId w:val="24"/>
  </w:num>
  <w:num w:numId="16">
    <w:abstractNumId w:val="25"/>
  </w:num>
  <w:num w:numId="17">
    <w:abstractNumId w:val="3"/>
  </w:num>
  <w:num w:numId="18">
    <w:abstractNumId w:val="4"/>
  </w:num>
  <w:num w:numId="19">
    <w:abstractNumId w:val="15"/>
  </w:num>
  <w:num w:numId="20">
    <w:abstractNumId w:val="9"/>
  </w:num>
  <w:num w:numId="21">
    <w:abstractNumId w:val="16"/>
  </w:num>
  <w:num w:numId="22">
    <w:abstractNumId w:val="23"/>
  </w:num>
  <w:num w:numId="23">
    <w:abstractNumId w:val="5"/>
  </w:num>
  <w:num w:numId="24">
    <w:abstractNumId w:val="22"/>
  </w:num>
  <w:num w:numId="25">
    <w:abstractNumId w:val="1"/>
  </w:num>
  <w:num w:numId="26">
    <w:abstractNumId w:val="1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3FF"/>
    <w:rsid w:val="00065A85"/>
    <w:rsid w:val="002061D1"/>
    <w:rsid w:val="002E7ECA"/>
    <w:rsid w:val="003C53FF"/>
    <w:rsid w:val="003F5AB5"/>
    <w:rsid w:val="005039EA"/>
    <w:rsid w:val="00672B3E"/>
    <w:rsid w:val="00997AE4"/>
    <w:rsid w:val="00B1219B"/>
    <w:rsid w:val="00C9745D"/>
    <w:rsid w:val="00CC3BED"/>
    <w:rsid w:val="00CC42D4"/>
    <w:rsid w:val="00D72216"/>
    <w:rsid w:val="00D774C8"/>
    <w:rsid w:val="00FA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53BD22-AFCB-4EC6-B923-B2EEF6A1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link w:val="Heading2Char"/>
    <w:uiPriority w:val="9"/>
    <w:qFormat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C3BED"/>
    <w:rPr>
      <w:b/>
      <w:bCs/>
      <w:color w:val="1F4E5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3BED"/>
    <w:rPr>
      <w:b/>
      <w:bCs/>
      <w:color w:val="1F4E5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3BED"/>
    <w:rPr>
      <w:color w:val="1F4D78"/>
      <w:sz w:val="24"/>
      <w:szCs w:val="24"/>
    </w:rPr>
  </w:style>
  <w:style w:type="character" w:customStyle="1" w:styleId="pdq2pgselectionanchor">
    <w:name w:val="pdq2pg_selectionanchor"/>
    <w:basedOn w:val="DefaultParagraphFont"/>
    <w:rsid w:val="00CC3BED"/>
  </w:style>
  <w:style w:type="paragraph" w:styleId="NormalWeb">
    <w:name w:val="Normal (Web)"/>
    <w:basedOn w:val="Normal"/>
    <w:uiPriority w:val="99"/>
    <w:unhideWhenUsed/>
    <w:rsid w:val="00CC3B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3B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B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BE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C3BED"/>
  </w:style>
  <w:style w:type="character" w:customStyle="1" w:styleId="y">
    <w:name w:val="ͼy"/>
    <w:basedOn w:val="DefaultParagraphFont"/>
    <w:rsid w:val="00CC3BED"/>
  </w:style>
  <w:style w:type="character" w:customStyle="1" w:styleId="v">
    <w:name w:val="ͼv"/>
    <w:basedOn w:val="DefaultParagraphFont"/>
    <w:rsid w:val="00CC3BED"/>
  </w:style>
  <w:style w:type="character" w:customStyle="1" w:styleId="Heading4Char">
    <w:name w:val="Heading 4 Char"/>
    <w:basedOn w:val="DefaultParagraphFont"/>
    <w:link w:val="Heading4"/>
    <w:uiPriority w:val="9"/>
    <w:rsid w:val="00CC3BE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C3BED"/>
    <w:rPr>
      <w:color w:val="2E74B5"/>
    </w:rPr>
  </w:style>
  <w:style w:type="character" w:styleId="Emphasis">
    <w:name w:val="Emphasis"/>
    <w:basedOn w:val="DefaultParagraphFont"/>
    <w:uiPriority w:val="20"/>
    <w:qFormat/>
    <w:rsid w:val="00CC3BED"/>
    <w:rPr>
      <w:i/>
      <w:iCs/>
    </w:rPr>
  </w:style>
  <w:style w:type="table" w:styleId="TableGrid">
    <w:name w:val="Table Grid"/>
    <w:basedOn w:val="TableNormal"/>
    <w:uiPriority w:val="39"/>
    <w:rsid w:val="002061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4521</Words>
  <Characters>25774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account</cp:lastModifiedBy>
  <cp:revision>4</cp:revision>
  <dcterms:created xsi:type="dcterms:W3CDTF">2026-09-16T21:01:00Z</dcterms:created>
  <dcterms:modified xsi:type="dcterms:W3CDTF">2026-09-18T17:36:00Z</dcterms:modified>
</cp:coreProperties>
</file>