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Calibri" w:hAnsi="Calibri"/>
          <w:b/>
          <w:i w:val="0"/>
          <w:sz w:val="30"/>
        </w:rPr>
        <w:t>William Volodarsky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 xml:space="preserve">Fort Lee, NJ 07024 | </w:t>
      </w:r>
      <w:hyperlink r:id="rId9">
        <w:r>
          <w:rPr>
            <w:rFonts w:ascii="Calibri" w:hAnsi="Calibri"/>
            <w:sz w:val="20"/>
            <w:color w:val="3498DB"/>
            <w:u w:val="single"/>
          </w:rPr>
          <w:t xml:space="preserve">williamvolodarsky@gmail.com</w:t>
        </w:r>
      </w:hyperlink>
      <w:r>
        <w:rPr>
          <w:rFonts w:ascii="Calibri" w:hAnsi="Calibri"/>
          <w:b w:val="0"/>
          <w:i w:val="0"/>
          <w:sz w:val="20"/>
        </w:rPr>
        <w:t xml:space="preserve"> | </w:t>
      </w:r>
      <w:hyperlink r:id="rId10">
        <w:r>
          <w:rPr>
            <w:rFonts w:ascii="Calibri" w:hAnsi="Calibri"/>
            <w:sz w:val="20"/>
            <w:color w:val="3498DB"/>
            <w:u w:val="single"/>
          </w:rPr>
          <w:t xml:space="preserve">linkedin.com/in/williamvolodarsky</w:t>
        </w:r>
      </w:hyperlink>
      <w:r>
        <w:rPr>
          <w:rFonts w:ascii="Calibri" w:hAnsi="Calibri"/>
          <w:b w:val="0"/>
          <w:i w:val="0"/>
          <w:sz w:val="20"/>
        </w:rPr>
        <w:t xml:space="preserve"> | </w:t>
      </w:r>
      <w:hyperlink r:id="rId11">
        <w:r>
          <w:rPr>
            <w:rFonts w:ascii="Calibri" w:hAnsi="Calibri"/>
            <w:sz w:val="20"/>
            <w:color w:val="3498DB"/>
            <w:u w:val="single"/>
          </w:rPr>
          <w:t xml:space="preserve">github.com/brolodarsky</w:t>
        </w:r>
      </w:hyperlink>
    </w:p>
    <w:p>
      <w:pPr>
        <w:spacing w:before="120" w:after="40" w:line="240" w:lineRule="auto"/>
        <w:pBdr>
          <w:bottom w:val="single" w:sz="4" w:space="1" w:color="3498DB"/>
        </w:pBdr>
      </w:pPr>
      <w:r>
        <w:rPr>
          <w:rFonts w:ascii="Calibri" w:hAnsi="Calibri"/>
          <w:b/>
          <w:i w:val="0"/>
          <w:sz w:val="26"/>
        </w:rPr>
        <w:t>Summary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 xml:space="preserve">Agentic AI Engineer (CS, Magna Cum Laude) and creator of </w:t>
      </w:r>
      <w:r>
        <w:rPr>
          <w:rFonts w:ascii="Calibri" w:hAnsi="Calibri"/>
          <w:b/>
          <w:i w:val="0"/>
          <w:sz w:val="20"/>
        </w:rPr>
        <w:t>Nexus</w:t>
      </w:r>
      <w:r>
        <w:rPr>
          <w:rFonts w:ascii="Calibri" w:hAnsi="Calibri"/>
          <w:b w:val="0"/>
          <w:i w:val="0"/>
          <w:sz w:val="20"/>
        </w:rPr>
        <w:t>, a production-grade Agentic OS orchestrating 10 workflows, 11 skills, and 12 automation tools — featuring a navigate-first retrieval architecture, an LLM-as-a-Judge evaluation pipeline, JSONL observability, and defense-in-depth security across health, career, and learning domains. Eight years of business operations leadership (2x revenue growth, HIPAA compliance) provides the cross-functional judgment to ship robust, compliant AI systems that solve real-world problems.</w:t>
      </w:r>
    </w:p>
    <w:p>
      <w:pPr>
        <w:spacing w:before="120" w:after="40" w:line="240" w:lineRule="auto"/>
        <w:pBdr>
          <w:bottom w:val="single" w:sz="4" w:space="1" w:color="3498DB"/>
        </w:pBdr>
      </w:pPr>
      <w:r>
        <w:rPr>
          <w:rFonts w:ascii="Calibri" w:hAnsi="Calibri"/>
          <w:b/>
          <w:i w:val="0"/>
          <w:sz w:val="26"/>
        </w:rPr>
        <w:t>Education</w:t>
      </w:r>
    </w:p>
    <w:p>
      <w:pPr>
        <w:spacing w:before="40" w:after="20" w:line="240" w:lineRule="auto"/>
      </w:pPr>
      <w:r>
        <w:rPr>
          <w:rFonts w:ascii="Calibri" w:hAnsi="Calibri"/>
          <w:b/>
          <w:i w:val="0"/>
          <w:sz w:val="20"/>
        </w:rPr>
        <w:t>Fordham University</w:t>
      </w:r>
      <w:r>
        <w:rPr>
          <w:rFonts w:ascii="Calibri" w:hAnsi="Calibri"/>
          <w:b w:val="0"/>
          <w:i w:val="0"/>
          <w:sz w:val="20"/>
        </w:rPr>
        <w:t xml:space="preserve"> | </w:t>
      </w:r>
      <w:r>
        <w:rPr>
          <w:rFonts w:ascii="Calibri" w:hAnsi="Calibri"/>
          <w:b w:val="0"/>
          <w:i/>
          <w:sz w:val="20"/>
        </w:rPr>
        <w:t>BS, Computer Science, Magna Cum Laude</w:t>
      </w:r>
      <w:r>
        <w:rPr>
          <w:rFonts w:ascii="Calibri" w:hAnsi="Calibri"/>
          <w:b w:val="0"/>
          <w:i w:val="0"/>
          <w:sz w:val="20"/>
        </w:rPr>
        <w:t xml:space="preserve"> | </w:t>
      </w:r>
      <w:r>
        <w:rPr>
          <w:rFonts w:ascii="Calibri" w:hAnsi="Calibri"/>
          <w:b/>
          <w:i w:val="0"/>
          <w:sz w:val="20"/>
        </w:rPr>
        <w:t>Sept 2023 – Dec 2025</w:t>
      </w:r>
      <w:r>
        <w:rPr>
          <w:rFonts w:ascii="Calibri" w:hAnsi="Calibri"/>
          <w:b w:val="0"/>
          <w:i w:val="0"/>
          <w:sz w:val="20"/>
        </w:rPr>
        <w:t xml:space="preserve"> | GPA: 3.7 | Dean's List</w:t>
      </w:r>
    </w:p>
    <w:p>
      <w:pPr>
        <w:spacing w:before="40" w:after="20" w:line="240" w:lineRule="auto"/>
      </w:pPr>
      <w:r>
        <w:rPr>
          <w:rFonts w:ascii="Calibri" w:hAnsi="Calibri"/>
          <w:b/>
          <w:i w:val="0"/>
          <w:sz w:val="20"/>
        </w:rPr>
        <w:t>LaGuardia Community College</w:t>
      </w:r>
      <w:r>
        <w:rPr>
          <w:rFonts w:ascii="Calibri" w:hAnsi="Calibri"/>
          <w:b w:val="0"/>
          <w:i w:val="0"/>
          <w:sz w:val="20"/>
        </w:rPr>
        <w:t xml:space="preserve"> | </w:t>
      </w:r>
      <w:r>
        <w:rPr>
          <w:rFonts w:ascii="Calibri" w:hAnsi="Calibri"/>
          <w:b w:val="0"/>
          <w:i/>
          <w:sz w:val="20"/>
        </w:rPr>
        <w:t>AS, Computer Science</w:t>
      </w:r>
      <w:r>
        <w:rPr>
          <w:rFonts w:ascii="Calibri" w:hAnsi="Calibri"/>
          <w:b w:val="0"/>
          <w:i w:val="0"/>
          <w:sz w:val="20"/>
        </w:rPr>
        <w:t xml:space="preserve"> | </w:t>
      </w:r>
      <w:r>
        <w:rPr>
          <w:rFonts w:ascii="Calibri" w:hAnsi="Calibri"/>
          <w:b/>
          <w:i w:val="0"/>
          <w:sz w:val="20"/>
        </w:rPr>
        <w:t>Jan 2020 – Dec 2022</w:t>
      </w:r>
      <w:r>
        <w:rPr>
          <w:rFonts w:ascii="Calibri" w:hAnsi="Calibri"/>
          <w:b w:val="0"/>
          <w:i w:val="0"/>
          <w:sz w:val="20"/>
        </w:rPr>
        <w:t xml:space="preserve"> | GPA: 3.7 | Dean's List, Phi Theta Kappa</w:t>
      </w:r>
    </w:p>
    <w:p>
      <w:pPr>
        <w:spacing w:before="120" w:after="40" w:line="240" w:lineRule="auto"/>
        <w:pBdr>
          <w:bottom w:val="single" w:sz="4" w:space="1" w:color="3498DB"/>
        </w:pBdr>
      </w:pPr>
      <w:r>
        <w:rPr>
          <w:rFonts w:ascii="Calibri" w:hAnsi="Calibri"/>
          <w:b/>
          <w:i w:val="0"/>
          <w:sz w:val="26"/>
        </w:rPr>
        <w:t>Projects &amp; Technical R&amp;D</w:t>
      </w:r>
    </w:p>
    <w:p>
      <w:pPr>
        <w:spacing w:before="60" w:after="20" w:line="240" w:lineRule="auto"/>
      </w:pPr>
      <w:r>
        <w:rPr>
          <w:rFonts w:ascii="Calibri" w:hAnsi="Calibri"/>
          <w:b/>
          <w:i w:val="0"/>
          <w:sz w:val="22"/>
        </w:rPr>
        <w:t>Nexus — Agentic Knowledge OS</w:t>
      </w:r>
      <w:r>
        <w:rPr>
          <w:rFonts w:ascii="Calibri" w:hAnsi="Calibri"/>
          <w:b/>
          <w:i w:val="0"/>
          <w:sz w:val="22"/>
        </w:rPr>
        <w:t xml:space="preserve"> | </w:t>
      </w:r>
      <w:hyperlink r:id="rId12">
        <w:r>
          <w:rPr>
            <w:rFonts w:ascii="Calibri" w:hAnsi="Calibri"/>
            <w:sz w:val="22"/>
            <w:color w:val="3498DB"/>
            <w:u w:val="single"/>
          </w:rPr>
          <w:t xml:space="preserve">github.com/brolodarsky/Nexus</w:t>
        </w:r>
      </w:hyperlink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 w:val="0"/>
          <w:sz w:val="22"/>
        </w:rPr>
        <w:t>Jan 2025 – Present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sz w:val="20"/>
        </w:rPr>
        <w:t>A publicly available, production-grade agentic system that manages live personal data across health, career, and learning domains. 17 tracked releases, 500+ interconnected notes, fully version-controlled via a 500+ line changelog.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Navigate-First Agent Architecture:</w:t>
      </w:r>
      <w:r>
        <w:rPr>
          <w:rFonts w:ascii="Calibri" w:hAnsi="Calibri"/>
          <w:b w:val="0"/>
          <w:i w:val="0"/>
          <w:sz w:val="20"/>
        </w:rPr>
        <w:t xml:space="preserve"> Replaced chunk-based Vector RAG with a </w:t>
      </w:r>
      <w:r>
        <w:rPr>
          <w:rFonts w:ascii="Calibri" w:hAnsi="Calibri"/>
          <w:b/>
          <w:i w:val="0"/>
          <w:sz w:val="20"/>
        </w:rPr>
        <w:t>LangGraph</w:t>
      </w:r>
      <w:r>
        <w:rPr>
          <w:rFonts w:ascii="Calibri" w:hAnsi="Calibri"/>
          <w:b w:val="0"/>
          <w:i w:val="0"/>
          <w:sz w:val="20"/>
        </w:rPr>
        <w:t xml:space="preserve"> ReAct agent that traverses 500+ Zettelkasten notes via four filesystem tools (`read_toc`, `read_note`, `search_vault`, `get_vault_structure`) with tree-based directory injection and YAML frontmatter tag filtering. Dynamic prompt injection pre-loads the live vault directory tree into the system prompt at query time, eliminating an LLM round-trip while keeping navigation current after vault restructures. The architecture deliberately prioritizes structural navigation over fuzzy semantic search to preserve document hierarchy and context.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Evaluation &amp; Observability Pipeline:</w:t>
      </w:r>
      <w:r>
        <w:rPr>
          <w:rFonts w:ascii="Calibri" w:hAnsi="Calibri"/>
          <w:b w:val="0"/>
          <w:i w:val="0"/>
          <w:sz w:val="20"/>
        </w:rPr>
        <w:t xml:space="preserve"> Built an automated </w:t>
      </w:r>
      <w:r>
        <w:rPr>
          <w:rFonts w:ascii="Calibri" w:hAnsi="Calibri"/>
          <w:b/>
          <w:i w:val="0"/>
          <w:sz w:val="20"/>
        </w:rPr>
        <w:t>LLM-as-a-Judge</w:t>
      </w:r>
      <w:r>
        <w:rPr>
          <w:rFonts w:ascii="Calibri" w:hAnsi="Calibri"/>
          <w:b w:val="0"/>
          <w:i w:val="0"/>
          <w:sz w:val="20"/>
        </w:rPr>
        <w:t xml:space="preserve"> eval framework grading agent responses across accuracy, groundedness, and hallucination detection — backed by a 12-case golden dataset with structured JSON reports including per-case duration, token usage, and pass/fail classification. Append-only JSONL run logs capture execution telemetry (timestamp, tool call sequences, cited sources, token counts, status) for every query across all interfaces, providing production-grade observability without external SaaS dependencies.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Multi-Interface Mission Control:</w:t>
      </w:r>
      <w:r>
        <w:rPr>
          <w:rFonts w:ascii="Calibri" w:hAnsi="Calibri"/>
          <w:b w:val="0"/>
          <w:i w:val="0"/>
          <w:sz w:val="20"/>
        </w:rPr>
        <w:t xml:space="preserve"> Engineered a persistent coordinator with a unified dispatcher serving </w:t>
      </w:r>
      <w:r>
        <w:rPr>
          <w:rFonts w:ascii="Calibri" w:hAnsi="Calibri"/>
          <w:b/>
          <w:i w:val="0"/>
          <w:sz w:val="20"/>
        </w:rPr>
        <w:t>CLI</w:t>
      </w:r>
      <w:r>
        <w:rPr>
          <w:rFonts w:ascii="Calibri" w:hAnsi="Calibri"/>
          <w:b w:val="0"/>
          <w:i w:val="0"/>
          <w:sz w:val="20"/>
        </w:rPr>
        <w:t xml:space="preserve"> (argparse-based metadata filters), </w:t>
      </w:r>
      <w:r>
        <w:rPr>
          <w:rFonts w:ascii="Calibri" w:hAnsi="Calibri"/>
          <w:b/>
          <w:i w:val="0"/>
          <w:sz w:val="20"/>
        </w:rPr>
        <w:t>Voice</w:t>
      </w:r>
      <w:r>
        <w:rPr>
          <w:rFonts w:ascii="Calibri" w:hAnsi="Calibri"/>
          <w:b w:val="0"/>
          <w:i w:val="0"/>
          <w:sz w:val="20"/>
        </w:rPr>
        <w:t xml:space="preserve"> (local PyAudio microphone capture + OpenAI Whisper transcription), and </w:t>
      </w:r>
      <w:r>
        <w:rPr>
          <w:rFonts w:ascii="Calibri" w:hAnsi="Calibri"/>
          <w:b/>
          <w:i w:val="0"/>
          <w:sz w:val="20"/>
        </w:rPr>
        <w:t>Telegram Bot</w:t>
      </w:r>
      <w:r>
        <w:rPr>
          <w:rFonts w:ascii="Calibri" w:hAnsi="Calibri"/>
          <w:b w:val="0"/>
          <w:i w:val="0"/>
          <w:sz w:val="20"/>
        </w:rPr>
        <w:t xml:space="preserve"> (python-telegram-bot with user-ID allowlist middleware and `.ogg` voice note transcription). The Telegram bot launches as a background daemon thread with live status monitoring from the interactive menu.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Domain Automation Pipelines:</w:t>
      </w:r>
      <w:r>
        <w:rPr>
          <w:rFonts w:ascii="Calibri" w:hAnsi="Calibri"/>
          <w:b w:val="0"/>
          <w:i w:val="0"/>
          <w:sz w:val="20"/>
        </w:rPr>
        <w:t xml:space="preserve"> Deployed 12 deterministic tools including: an </w:t>
      </w:r>
      <w:r>
        <w:rPr>
          <w:rFonts w:ascii="Calibri" w:hAnsi="Calibri"/>
          <w:b/>
          <w:i w:val="0"/>
          <w:sz w:val="20"/>
        </w:rPr>
        <w:t>HL7 CDA medical XML parser</w:t>
      </w:r>
      <w:r>
        <w:rPr>
          <w:rFonts w:ascii="Calibri" w:hAnsi="Calibri"/>
          <w:b w:val="0"/>
          <w:i w:val="0"/>
          <w:sz w:val="20"/>
        </w:rPr>
        <w:t xml:space="preserve"> converting structured clinical documents to Obsidian-ready Markdown with table preservation; a universal </w:t>
      </w:r>
      <w:r>
        <w:rPr>
          <w:rFonts w:ascii="Calibri" w:hAnsi="Calibri"/>
          <w:b/>
          <w:i w:val="0"/>
          <w:sz w:val="20"/>
        </w:rPr>
        <w:t>ADB Android screen-scraper</w:t>
      </w:r>
      <w:r>
        <w:rPr>
          <w:rFonts w:ascii="Calibri" w:hAnsi="Calibri"/>
          <w:b w:val="0"/>
          <w:i w:val="0"/>
          <w:sz w:val="20"/>
        </w:rPr>
        <w:t xml:space="preserve"> (`ingest_phone.py`, 553 lines) supporting 11 messaging platforms (Google Messages, WhatsApp, Signal, Tinder, Hinge, Bumble, Discord, Instagram, Snapchat, Messenger, Telegram) with multi-screen scroll capture, cross-screen deduplication, toolbar contact name detection, and sender alignment heuristics; a </w:t>
      </w:r>
      <w:r>
        <w:rPr>
          <w:rFonts w:ascii="Calibri" w:hAnsi="Calibri"/>
          <w:b/>
          <w:i w:val="0"/>
          <w:sz w:val="20"/>
        </w:rPr>
        <w:t>dual-format resume engine</w:t>
      </w:r>
      <w:r>
        <w:rPr>
          <w:rFonts w:ascii="Calibri" w:hAnsi="Calibri"/>
          <w:b w:val="0"/>
          <w:i w:val="0"/>
          <w:sz w:val="20"/>
        </w:rPr>
        <w:t xml:space="preserve"> (Node.js/</w:t>
      </w:r>
      <w:r>
        <w:rPr>
          <w:rFonts w:ascii="Calibri" w:hAnsi="Calibri"/>
          <w:b/>
          <w:i w:val="0"/>
          <w:sz w:val="20"/>
        </w:rPr>
        <w:t>Playwright</w:t>
      </w:r>
      <w:r>
        <w:rPr>
          <w:rFonts w:ascii="Calibri" w:hAnsi="Calibri"/>
          <w:b w:val="0"/>
          <w:i w:val="0"/>
          <w:sz w:val="20"/>
        </w:rPr>
        <w:t xml:space="preserve"> for styled PDFs + </w:t>
      </w:r>
      <w:r>
        <w:rPr>
          <w:rFonts w:ascii="Calibri" w:hAnsi="Calibri"/>
          <w:b/>
          <w:i w:val="0"/>
          <w:sz w:val="20"/>
        </w:rPr>
        <w:t>python-docx</w:t>
      </w:r>
      <w:r>
        <w:rPr>
          <w:rFonts w:ascii="Calibri" w:hAnsi="Calibri"/>
          <w:b w:val="0"/>
          <w:i w:val="0"/>
          <w:sz w:val="20"/>
        </w:rPr>
        <w:t xml:space="preserve"> for ATS-compatible DOCX) with an interactive document picker; a </w:t>
      </w:r>
      <w:r>
        <w:rPr>
          <w:rFonts w:ascii="Calibri" w:hAnsi="Calibri"/>
          <w:b/>
          <w:i w:val="0"/>
          <w:sz w:val="20"/>
        </w:rPr>
        <w:t>TTS podcast generator</w:t>
      </w:r>
      <w:r>
        <w:rPr>
          <w:rFonts w:ascii="Calibri" w:hAnsi="Calibri"/>
          <w:b w:val="0"/>
          <w:i w:val="0"/>
          <w:sz w:val="20"/>
        </w:rPr>
        <w:t xml:space="preserve"> (edge-tts); and atomic content ingestion tools for email (IMAP/OAuth2), webpages (Trafilatura), and YouTube transcripts.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Security &amp; Self-Governance:</w:t>
      </w:r>
      <w:r>
        <w:rPr>
          <w:rFonts w:ascii="Calibri" w:hAnsi="Calibri"/>
          <w:b w:val="0"/>
          <w:i w:val="0"/>
          <w:sz w:val="20"/>
        </w:rPr>
        <w:t xml:space="preserve"> Established a dual-Git "Nested Heart" layout separating public engine code from private Vault content encrypted via </w:t>
      </w:r>
      <w:r>
        <w:rPr>
          <w:rFonts w:ascii="Calibri" w:hAnsi="Calibri"/>
          <w:b/>
          <w:i w:val="0"/>
          <w:sz w:val="20"/>
        </w:rPr>
        <w:t>git-crypt</w:t>
      </w:r>
      <w:r>
        <w:rPr>
          <w:rFonts w:ascii="Calibri" w:hAnsi="Calibri"/>
          <w:b w:val="0"/>
          <w:i w:val="0"/>
          <w:sz w:val="20"/>
        </w:rPr>
        <w:t xml:space="preserve">, with </w:t>
      </w:r>
      <w:r>
        <w:rPr>
          <w:rFonts w:ascii="Calibri" w:hAnsi="Calibri"/>
          <w:b/>
          <w:i w:val="0"/>
          <w:sz w:val="20"/>
        </w:rPr>
        <w:t>Syncthing</w:t>
      </w:r>
      <w:r>
        <w:rPr>
          <w:rFonts w:ascii="Calibri" w:hAnsi="Calibri"/>
          <w:b w:val="0"/>
          <w:i w:val="0"/>
          <w:sz w:val="20"/>
        </w:rPr>
        <w:t xml:space="preserve"> for zero-cloud device sync. The system is governed by a declarative "Agentic Constitution" (`AGENTS.md`) with 11 enforced rules, a compiled portability architecture ensuring rule consistency across AI contexts, and meta-skills (`skill_creator`, `workflow_creator`) that autonomously generate, optimize, and benchmark new skills and workflows — closing the self-improvement loop.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Content Ingestion Infrastructure:</w:t>
      </w:r>
      <w:r>
        <w:rPr>
          <w:rFonts w:ascii="Calibri" w:hAnsi="Calibri"/>
          <w:b w:val="0"/>
          <w:i w:val="0"/>
          <w:sz w:val="20"/>
        </w:rPr>
        <w:t xml:space="preserve"> Built composable tool primitives for email fetching (IMAP with Google OAuth2), clean webpage extraction (Trafilatura), YouTube transcript download, and vault structure validation — all consumed by agentic workflows (`/capture_content`, `/distill_learning`, `/audit_inbox`) that automate the full ingest-classify-file pipeline.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Architectural Evolution (17 Releases):</w:t>
      </w:r>
      <w:r>
        <w:rPr>
          <w:rFonts w:ascii="Calibri" w:hAnsi="Calibri"/>
          <w:b w:val="0"/>
          <w:i w:val="0"/>
          <w:sz w:val="20"/>
        </w:rPr>
        <w:t xml:space="preserve"> Progressed from a flat script collection to a modular engine architecture across 17 tracked releases: Vector RAG → Agentic RAG with HyDE + LLM Re-Ranking → Navigate-First Filesystem Agent. Executed three major architectural pivots, each with full eval regression testing, documentation updates, and backward-compatible migration paths.</w:t>
      </w:r>
    </w:p>
    <w:p>
      <w:pPr>
        <w:spacing w:before="120" w:after="40" w:line="240" w:lineRule="auto"/>
        <w:pBdr>
          <w:bottom w:val="single" w:sz="4" w:space="1" w:color="3498DB"/>
        </w:pBdr>
      </w:pPr>
      <w:r>
        <w:rPr>
          <w:rFonts w:ascii="Calibri" w:hAnsi="Calibri"/>
          <w:b/>
          <w:i w:val="0"/>
          <w:sz w:val="26"/>
        </w:rPr>
        <w:t>Professional Experience</w:t>
      </w:r>
    </w:p>
    <w:p>
      <w:pPr>
        <w:spacing w:before="60" w:after="20" w:line="240" w:lineRule="auto"/>
      </w:pPr>
      <w:r>
        <w:rPr>
          <w:rFonts w:ascii="Calibri" w:hAnsi="Calibri"/>
          <w:b/>
          <w:i w:val="0"/>
          <w:sz w:val="22"/>
        </w:rPr>
        <w:t>Handshake AI Fellowship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/>
          <w:sz w:val="22"/>
        </w:rPr>
        <w:t>AI Training Fellow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 w:val="0"/>
          <w:sz w:val="22"/>
        </w:rPr>
        <w:t>Nov 2025 – Present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Human-Guided Alignment:</w:t>
      </w:r>
      <w:r>
        <w:rPr>
          <w:rFonts w:ascii="Calibri" w:hAnsi="Calibri"/>
          <w:b w:val="0"/>
          <w:i w:val="0"/>
          <w:sz w:val="20"/>
        </w:rPr>
        <w:t xml:space="preserve"> Performed iterative resampling with corrective feedback across next-generation LLMs and latent diffusion models to optimize accuracy and instruction adherence.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Multi-Axial Evaluation &amp; QA:</w:t>
      </w:r>
      <w:r>
        <w:rPr>
          <w:rFonts w:ascii="Calibri" w:hAnsi="Calibri"/>
          <w:b w:val="0"/>
          <w:i w:val="0"/>
          <w:sz w:val="20"/>
        </w:rPr>
        <w:t xml:space="preserve"> Evaluated LLM/diffusion outputs across complex quality rubrics, identifying systematic failure modes (hallucination patterns, context degradation) and translating edge cases into actionable fine-tuning constraints.</w:t>
      </w:r>
    </w:p>
    <w:p>
      <w:pPr>
        <w:spacing w:before="60" w:after="20" w:line="240" w:lineRule="auto"/>
      </w:pPr>
      <w:r>
        <w:rPr>
          <w:rFonts w:ascii="Calibri" w:hAnsi="Calibri"/>
          <w:b/>
          <w:i w:val="0"/>
          <w:sz w:val="22"/>
        </w:rPr>
        <w:t>SiliSlick Knives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/>
          <w:sz w:val="22"/>
        </w:rPr>
        <w:t>Co-Owner &amp; Operations Lead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 w:val="0"/>
          <w:sz w:val="22"/>
        </w:rPr>
        <w:t>June 2017 – June 2025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Revenue Growth:</w:t>
      </w:r>
      <w:r>
        <w:rPr>
          <w:rFonts w:ascii="Calibri" w:hAnsi="Calibri"/>
          <w:b w:val="0"/>
          <w:i w:val="0"/>
          <w:sz w:val="20"/>
        </w:rPr>
        <w:t xml:space="preserve"> Identified high-margin product opportunities through sales velocity and competitive analysis, deploying new product lines that </w:t>
      </w:r>
      <w:r>
        <w:rPr>
          <w:rFonts w:ascii="Calibri" w:hAnsi="Calibri"/>
          <w:b/>
          <w:i w:val="0"/>
          <w:sz w:val="20"/>
        </w:rPr>
        <w:t>doubled private brand revenue</w:t>
      </w:r>
      <w:r>
        <w:rPr>
          <w:rFonts w:ascii="Calibri" w:hAnsi="Calibri"/>
          <w:b w:val="0"/>
          <w:i w:val="0"/>
          <w:sz w:val="20"/>
        </w:rPr>
        <w:t xml:space="preserve"> over 18 months.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Global Operations:</w:t>
      </w:r>
      <w:r>
        <w:rPr>
          <w:rFonts w:ascii="Calibri" w:hAnsi="Calibri"/>
          <w:b w:val="0"/>
          <w:i w:val="0"/>
          <w:sz w:val="20"/>
        </w:rPr>
        <w:t xml:space="preserve"> Managed multi-channel international distribution (Amazon, wholesale, D2C) across US/UK/EU markets, overseeing regulatory compliance, customs logistics, product design, online/offline marketing, customer support and supplier negotiations.</w:t>
      </w:r>
    </w:p>
    <w:p>
      <w:pPr>
        <w:spacing w:before="60" w:after="20" w:line="240" w:lineRule="auto"/>
      </w:pPr>
      <w:r>
        <w:rPr>
          <w:rFonts w:ascii="Calibri" w:hAnsi="Calibri"/>
          <w:b/>
          <w:i w:val="0"/>
          <w:sz w:val="22"/>
        </w:rPr>
        <w:t>Vitreous Retina Macula Consultants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/>
          <w:sz w:val="22"/>
        </w:rPr>
        <w:t>Medical Records &amp; Patient Services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 w:val="0"/>
          <w:sz w:val="22"/>
        </w:rPr>
        <w:t>June 2015 – Feb 2017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HIPAA Compliance:</w:t>
      </w:r>
      <w:r>
        <w:rPr>
          <w:rFonts w:ascii="Calibri" w:hAnsi="Calibri"/>
          <w:b w:val="0"/>
          <w:i w:val="0"/>
          <w:sz w:val="20"/>
        </w:rPr>
        <w:t xml:space="preserve"> Co-managed clinical records for a high-volume ophthalmology practice, maintaining </w:t>
      </w:r>
      <w:r>
        <w:rPr>
          <w:rFonts w:ascii="Calibri" w:hAnsi="Calibri"/>
          <w:b/>
          <w:i w:val="0"/>
          <w:sz w:val="20"/>
        </w:rPr>
        <w:t>100% HIPAA compliance</w:t>
      </w:r>
      <w:r>
        <w:rPr>
          <w:rFonts w:ascii="Calibri" w:hAnsi="Calibri"/>
          <w:b w:val="0"/>
          <w:i w:val="0"/>
          <w:sz w:val="20"/>
        </w:rPr>
        <w:t xml:space="preserve"> across document handling, retrieval, and inter-office transfers.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Data &amp; Process Improvement:</w:t>
      </w:r>
      <w:r>
        <w:rPr>
          <w:rFonts w:ascii="Calibri" w:hAnsi="Calibri"/>
          <w:b w:val="0"/>
          <w:i w:val="0"/>
          <w:sz w:val="20"/>
        </w:rPr>
        <w:t xml:space="preserve"> Built interactive tracking spreadsheets for patient service quality and staff scheduling, driving measurable improvements in clinical throughput and reducing retrieval latency.</w:t>
      </w:r>
    </w:p>
    <w:p>
      <w:pPr>
        <w:spacing w:before="120" w:after="40" w:line="240" w:lineRule="auto"/>
        <w:pBdr>
          <w:bottom w:val="single" w:sz="4" w:space="1" w:color="3498DB"/>
        </w:pBdr>
      </w:pPr>
      <w:r>
        <w:rPr>
          <w:rFonts w:ascii="Calibri" w:hAnsi="Calibri"/>
          <w:b/>
          <w:i w:val="0"/>
          <w:sz w:val="26"/>
        </w:rPr>
        <w:t>Technical Skills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Agentic AI &amp; LLMs:</w:t>
      </w:r>
      <w:r>
        <w:rPr>
          <w:rFonts w:ascii="Calibri" w:hAnsi="Calibri"/>
          <w:b w:val="0"/>
          <w:i w:val="0"/>
          <w:sz w:val="20"/>
        </w:rPr>
        <w:t xml:space="preserve"> LangGraph, LangChain, LangSmith, ReAct Agents, Agentic RAG, Tool Calling, Prompt &amp; Context Engineering, Dynamic Prompt Injection, HyDE, LLM Re-Ranking, Structured Outputs, HITL Alignment, LLM-as-a-Judge Evaluation, NLP, Vector Search, Embeddings, OpenAI API, Whisper.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Engineering:</w:t>
      </w:r>
      <w:r>
        <w:rPr>
          <w:rFonts w:ascii="Calibri" w:hAnsi="Calibri"/>
          <w:b w:val="0"/>
          <w:i w:val="0"/>
          <w:sz w:val="20"/>
        </w:rPr>
        <w:t xml:space="preserve"> Python, Java, C++, SQL (PostgreSQL/MySQL), JavaScript, Node.js, HTML/CSS, PowerShell, NumPy, Pandas, Pytest, python-docx, YAML/JSON Schema.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Infrastructure:</w:t>
      </w:r>
      <w:r>
        <w:rPr>
          <w:rFonts w:ascii="Calibri" w:hAnsi="Calibri"/>
          <w:b w:val="0"/>
          <w:i w:val="0"/>
          <w:sz w:val="20"/>
        </w:rPr>
        <w:t xml:space="preserve"> Git/GitHub, Git-Crypt, Syncthing, Playwright, ADB/Android, Telegram Bot API, IMAP/OAuth2, Linux, FastAPI, HL7 CDA, edge-tts, Obsidian/Zettelkasten.</w:t>
      </w:r>
    </w:p>
    <w:sectPr w:rsidR="00FC693F" w:rsidRPr="0006063C" w:rsidSect="00034616">
      <w:pgSz w:w="12240" w:h="15840"/>
      <w:pgMar w:top="360" w:right="720" w:bottom="36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volodarsky@gmail.com" TargetMode="External"/><Relationship Id="rId10" Type="http://schemas.openxmlformats.org/officeDocument/2006/relationships/hyperlink" Target="http://linkedin.com/in/williamvolodarsky" TargetMode="External"/><Relationship Id="rId11" Type="http://schemas.openxmlformats.org/officeDocument/2006/relationships/hyperlink" Target="https://github.com/brolodarsky" TargetMode="External"/><Relationship Id="rId12" Type="http://schemas.openxmlformats.org/officeDocument/2006/relationships/hyperlink" Target="https://github.com/brolodarsky/Nex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