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color w:val="595959"/>
          <w:sz w:val="16"/>
          <w:szCs w:val="16"/>
        </w:rPr>
        <w:t xml:space="preserve">BRUNO SAMUELI · OSTERHOLM B.V.</w:t>
      </w:r>
    </w:p>
    <w:p>
      <w:pPr>
        <w:spacing w:after="20"/>
      </w:pPr>
      <w:r>
        <w:rPr>
          <w:b/>
          <w:bCs/>
          <w:color w:val="1F3864"/>
          <w:sz w:val="30"/>
          <w:szCs w:val="30"/>
        </w:rPr>
        <w:t xml:space="preserve">Cross-border tax &amp; social-security position</w:t>
      </w:r>
    </w:p>
    <w:p>
      <w:pPr>
        <w:spacing w:after="150"/>
      </w:pPr>
      <w:r>
        <w:rPr>
          <w:color w:val="595959"/>
          <w:sz w:val="22"/>
          <w:szCs w:val="22"/>
        </w:rPr>
        <w:t xml:space="preserve">Discussion checklist for my tax adviser</w:t>
      </w:r>
    </w:p>
    <w:p>
      <w:pPr>
        <w:spacing w:after="140"/>
      </w:pPr>
      <w:r>
        <w:rPr>
          <w:i w:val="false"/>
          <w:iCs w:val="false"/>
          <w:color w:val="000000"/>
          <w:sz w:val="20"/>
          <w:szCs w:val="20"/>
        </w:rPr>
        <w:t xml:space="preserve">My situation: US citizen; sole owner of a Dutch BV (Osterholm B.V.); municipal registration (BRP) and insurance in the Netherlands; currently physically present in Germany; delivering IT services to clients in DE / AT / NL, mostly remotely. The aim of this list is to confirm where I am taxed, to avoid an unintended permanent establishment or double taxation, and to keep the right documentation.</w:t>
      </w:r>
    </w:p>
    <w:p>
      <w:pPr>
        <w:pBdr>
          <w:bottom w:val="single" w:color="1F3864" w:sz="6" w:space="2"/>
        </w:pBdr>
        <w:spacing w:after="60" w:before="180"/>
      </w:pPr>
      <w:r>
        <w:rPr>
          <w:b/>
          <w:bCs/>
          <w:color w:val="1F3864"/>
          <w:sz w:val="20"/>
          <w:szCs w:val="20"/>
        </w:rPr>
        <w:t xml:space="preserve">1 · Personal tax residency (fiscale woonplaats / steuerliche Ansässigkeit)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Given that I am physically in Germany but my BRP registration and insurance are in the Netherlands, where am I personally tax-resident for 2025–2026?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How do the 183-day test and the NL–DE double-tax treaty tie-breakers (permanent home, centre of vital interests) apply to me?</w:t>
      </w:r>
    </w:p>
    <w:p>
      <w:pPr>
        <w:pBdr>
          <w:bottom w:val="single" w:color="1F3864" w:sz="6" w:space="2"/>
        </w:pBdr>
        <w:spacing w:after="60" w:before="180"/>
      </w:pPr>
      <w:r>
        <w:rPr>
          <w:b/>
          <w:bCs/>
          <w:color w:val="1F3864"/>
          <w:sz w:val="20"/>
          <w:szCs w:val="20"/>
        </w:rPr>
        <w:t xml:space="preserve">2 · Place of effective management of the BV (feitelijke leiding / Geschäftsleitung)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Because I run Osterholm B.V. while physically in Germany, could the company be treated as (co-)managed from Germany, creating a German corporate-tax nexus or dual residence?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What should I do to keep the BV's effective management clearly in the Netherlands?</w:t>
      </w:r>
    </w:p>
    <w:p>
      <w:pPr>
        <w:pBdr>
          <w:bottom w:val="single" w:color="1F3864" w:sz="6" w:space="2"/>
        </w:pBdr>
        <w:spacing w:after="60" w:before="180"/>
      </w:pPr>
      <w:r>
        <w:rPr>
          <w:b/>
          <w:bCs/>
          <w:color w:val="1F3864"/>
          <w:sz w:val="20"/>
          <w:szCs w:val="20"/>
        </w:rPr>
        <w:t xml:space="preserve">3 · Permanent establishment (vaste inrichting / Betriebsstätte)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Does working from a fixed place in Germany (incl. a home office) create a permanent establishment for the BV in Germany? What duration or fixity triggers it?</w:t>
      </w:r>
    </w:p>
    <w:p>
      <w:pPr>
        <w:pBdr>
          <w:bottom w:val="single" w:color="1F3864" w:sz="6" w:space="2"/>
        </w:pBdr>
        <w:spacing w:after="60" w:before="180"/>
      </w:pPr>
      <w:r>
        <w:rPr>
          <w:b/>
          <w:bCs/>
          <w:color w:val="1F3864"/>
          <w:sz w:val="20"/>
          <w:szCs w:val="20"/>
        </w:rPr>
        <w:t xml:space="preserve">4 · VAT (btw / Umsatzsteuer)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Confirm correct reverse-charge invoicing for B2B services to German clients (net invoice, § 13b note, both VAT IDs).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Does my physical presence in Germany trigger any German VAT-registration obligation, or change the place of supply?</w:t>
      </w:r>
    </w:p>
    <w:p>
      <w:pPr>
        <w:pBdr>
          <w:bottom w:val="single" w:color="1F3864" w:sz="6" w:space="2"/>
        </w:pBdr>
        <w:spacing w:after="60" w:before="180"/>
      </w:pPr>
      <w:r>
        <w:rPr>
          <w:b/>
          <w:bCs/>
          <w:color w:val="1F3864"/>
          <w:sz w:val="20"/>
          <w:szCs w:val="20"/>
        </w:rPr>
        <w:t xml:space="preserve">5 · Social security &amp; insurance (EU Reg. 883/2004)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 am insured in the Netherlands but physically in Germany — which country's social-security system applies, and is an A1 certificate appropriate or should coverage shift?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Is my health-insurance arrangement compliant in both countries?</w:t>
      </w:r>
    </w:p>
    <w:p>
      <w:pPr>
        <w:pBdr>
          <w:bottom w:val="single" w:color="1F3864" w:sz="6" w:space="2"/>
        </w:pBdr>
        <w:spacing w:after="60" w:before="180"/>
      </w:pPr>
      <w:r>
        <w:rPr>
          <w:b/>
          <w:bCs/>
          <w:color w:val="1F3864"/>
          <w:sz w:val="20"/>
          <w:szCs w:val="20"/>
        </w:rPr>
        <w:t xml:space="preserve">6 · US obligations (citizenship-based taxation)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 filing as a citizen abroad: FBAR / FATCA, foreign earned income exclusion vs. foreign tax credit.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 rules for a US person owning a foreign corporation — Form 5471 and possible GILTI on the BV — coordinated so NL / DE / US do not double-tax.</w:t>
      </w:r>
    </w:p>
    <w:p>
      <w:pPr>
        <w:pBdr>
          <w:bottom w:val="single" w:color="1F3864" w:sz="6" w:space="2"/>
        </w:pBdr>
        <w:spacing w:after="60" w:before="180"/>
      </w:pPr>
      <w:r>
        <w:rPr>
          <w:b/>
          <w:bCs/>
          <w:color w:val="1F3864"/>
          <w:sz w:val="20"/>
          <w:szCs w:val="20"/>
        </w:rPr>
        <w:t xml:space="preserve">7 · Documentation to keep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Signed service contracts (Dienst-/Werkvertrag), a day-by-day record of country of presence, place-of-work evidence, invoices with reverse-charge notes, and BV board/management records.</w:t>
      </w:r>
    </w:p>
    <w:p>
      <w:pPr>
        <w:spacing w:after="60"/>
      </w:pPr>
      <w:r>
        <w:rPr>
          <w:i/>
          <w:iCs/>
          <w:color w:val="595959"/>
          <w:sz w:val="17"/>
          <w:szCs w:val="17"/>
        </w:rPr>
        <w:t xml:space="preserve">This is a personal preparation checklist of topics to raise with my adviser. It is general information, not tax or legal advice.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2026-06-24T14:01:53.039Z</dcterms:created>
  <dcterms:modified xsi:type="dcterms:W3CDTF">2026-06-24T14:01:53.039Z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