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color w:val="595959"/>
          <w:sz w:val="16"/>
          <w:szCs w:val="16"/>
        </w:rPr>
        <w:t xml:space="preserve">OSTERHOLM B.V. · UTRECHT (NL)</w:t>
      </w:r>
    </w:p>
    <w:p>
      <w:pPr>
        <w:spacing w:after="20"/>
      </w:pPr>
      <w:r>
        <w:rPr>
          <w:b/>
          <w:bCs/>
          <w:color w:val="1F3864"/>
          <w:sz w:val="34"/>
          <w:szCs w:val="34"/>
        </w:rPr>
        <w:t xml:space="preserve">Working with Osterholm B.V.</w:t>
      </w:r>
    </w:p>
    <w:p>
      <w:pPr>
        <w:spacing w:after="160"/>
      </w:pPr>
      <w:r>
        <w:rPr>
          <w:color w:val="595959"/>
          <w:sz w:val="22"/>
          <w:szCs w:val="22"/>
        </w:rPr>
        <w:t xml:space="preserve">Contracting and VAT notes for clients in Ireland</w:t>
      </w:r>
    </w:p>
    <w:p>
      <w:pPr>
        <w:spacing w:after="140"/>
      </w:pPr>
      <w:r>
        <w:rPr>
          <w:i w:val="false"/>
          <w:iCs w:val="false"/>
          <w:color w:val="000000"/>
          <w:sz w:val="20"/>
          <w:szCs w:val="20"/>
        </w:rPr>
        <w:t xml:space="preserve">Osterholm B.V. is a Netherlands-based IT services company (owner: Bruno Samueli) providing Java / Spring Boot / Kubernetes and AI-assisted development, delivered remotely. Engaging us is straightforward and follows the standard EU cross-border B2B model. The points below answer the questions that usually come from procurement and finance.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1 · Engagement — an independent B2B service, no Irish entity needed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We deliver as an independent service through Osterholm B.V. under a service contract: defined, deliverable-based work, using our own equipment and methods. For remote delivery there is no need for an Irish company, umbrella, or payroll on your side — you contract our Dutch company and receive our invoices.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2 · VAT — reverse charge on cross-border B2B services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As a business established outside Ireland, Osterholm B.V. invoices without VAT. Under the general B2B place-of-supply rule, your Irish business accounts for Irish VAT on the purchase through the reverse-charge mechanism on its VAT3 return and — where you have full input-deductibility — reclaims it in the same return, so the entry is cash-neutral. This is the standard, prescribed mechanism for cross-border B2B services within the EU, not a special case. (Relevant Contracts Tax (RCT) does not apply: it is confined to construction, forestry and meat processing.)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3 · Status — a genuine business, not employment</w:t>
      </w:r>
    </w:p>
    <w:p>
      <w:pPr>
        <w:spacing w:after="100"/>
      </w:pPr>
      <w:r>
        <w:rPr>
          <w:i w:val="false"/>
          <w:iCs w:val="false"/>
          <w:color w:val="000000"/>
          <w:sz w:val="20"/>
          <w:szCs w:val="20"/>
        </w:rPr>
        <w:t xml:space="preserve">We operate as a genuine independent business: our own company, multiple clients, our own tools, and no integration into your organisation or reporting line. The engagement is a B2B service, not employment. A service agreement documents this, and we can provide a model on request.</w:t>
      </w:r>
    </w:p>
    <w:p>
      <w:pPr>
        <w:pBdr>
          <w:bottom w:val="single" w:color="1F3864" w:sz="6" w:space="2"/>
        </w:pBdr>
        <w:spacing w:after="70" w:before="200"/>
      </w:pPr>
      <w:r>
        <w:rPr>
          <w:b/>
          <w:bCs/>
          <w:color w:val="1F3864"/>
          <w:sz w:val="21"/>
          <w:szCs w:val="21"/>
        </w:rPr>
        <w:t xml:space="preserve">4 · Documents on request</w:t>
      </w:r>
    </w:p>
    <w:p>
      <w:pPr>
        <w:spacing w:after="160"/>
      </w:pPr>
      <w:r>
        <w:rPr>
          <w:i w:val="false"/>
          <w:iCs w:val="false"/>
          <w:color w:val="000000"/>
          <w:sz w:val="20"/>
          <w:szCs w:val="20"/>
        </w:rPr>
        <w:t xml:space="preserve">Company registration (KvK) extract · VAT number NL864925888B01 · model service agreement · insurance details.</w:t>
      </w:r>
    </w:p>
    <w:p>
      <w:pPr>
        <w:spacing w:after="200"/>
      </w:pPr>
      <w:r>
        <w:rPr>
          <w:i/>
          <w:iCs/>
          <w:color w:val="595959"/>
          <w:sz w:val="17"/>
          <w:szCs w:val="17"/>
        </w:rPr>
        <w:t xml:space="preserve">This note is general information and not tax or legal advice. Your adviser or the Revenue Commissioners can confirm the points for your specific circumstances.</w:t>
      </w:r>
    </w:p>
    <w:p>
      <w:pPr>
        <w:pBdr>
          <w:top w:val="single" w:color="1F3864" w:sz="6" w:space="4"/>
        </w:pBdr>
        <w:spacing w:before="60"/>
      </w:pPr>
      <w:r>
        <w:rPr>
          <w:color w:val="595959"/>
          <w:sz w:val="16"/>
          <w:szCs w:val="16"/>
        </w:rPr>
        <w:t xml:space="preserve">Osterholm B.V. · Arthur van Schendelstraat 500, 3511 MH Utrecht (NL) · VAT NL864925888B01 · Bruno.Samueli@osterholm.nl · +31 6 4436 0779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2026-06-24T15:28:20.568Z</dcterms:created>
  <dcterms:modified xsi:type="dcterms:W3CDTF">2026-06-24T15:28:20.568Z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