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color w:val="595959"/>
          <w:sz w:val="16"/>
          <w:szCs w:val="16"/>
        </w:rPr>
        <w:t xml:space="preserve">OSTERHOLM B.V. · UTRECHT (NL)</w:t>
      </w:r>
    </w:p>
    <w:p>
      <w:pPr>
        <w:spacing w:after="20"/>
      </w:pPr>
      <w:r>
        <w:rPr>
          <w:b/>
          <w:bCs/>
          <w:color w:val="1F3864"/>
          <w:sz w:val="34"/>
          <w:szCs w:val="34"/>
        </w:rPr>
        <w:t xml:space="preserve">Zusammenarbeit mit Osterholm B.V.</w:t>
      </w:r>
    </w:p>
    <w:p>
      <w:pPr>
        <w:spacing w:after="160"/>
      </w:pPr>
      <w:r>
        <w:rPr>
          <w:color w:val="595959"/>
          <w:sz w:val="22"/>
          <w:szCs w:val="22"/>
        </w:rPr>
        <w:t xml:space="preserve">Vertragliche und steuerliche Eckpunkte für Auftraggeber in Deutschland</w:t>
      </w:r>
    </w:p>
    <w:p>
      <w:pPr>
        <w:spacing w:after="140"/>
      </w:pPr>
      <w:r>
        <w:rPr>
          <w:i w:val="false"/>
          <w:iCs w:val="false"/>
          <w:color w:val="000000"/>
          <w:sz w:val="20"/>
          <w:szCs w:val="20"/>
        </w:rPr>
        <w:t xml:space="preserve">Osterholm B.V. ist ein in den Niederlanden ansässiges IT-Dienstleistungsunternehmen (Inhaber: Bruno Samueli) und erbringt Leistungen in der Java-, Spring-Boot- und Kubernetes-Entwicklung sowie in der KI-gestützten Softwareentwicklung — überwiegend remote bzw. hybrid. Die Zusammenarbeit mit deutschen Auftraggebern ist vertraglich und steuerlich unkompliziert und entspricht dem üblichen grenzüberschreitenden B2B-Standard innerhalb der EU. Die folgenden Punkte beantworten die häufigsten Rückfragen aus Einkauf und Buchhaltung.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1 · Vertragsform: Dienst-/Werkvertrag — keine Arbeitnehmerüberlassung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Die Leistung wird als eigenständige Dienstleistung über die Osterholm B.V. auf Basis eines Dienst- bzw. Werkvertrags erbracht — projekt- und ergebnisbezogen, mit eigenen Arbeitsmitteln und eigener Methodenhoheit. Eine Arbeitnehmerüberlassung (AÜG) ist hierfür weder erforderlich noch einschlägig: Es wird keine Arbeitskraft zur weisungsgebundenen Eingliederung überlassen, sondern eine abgegrenzte Werk-/Dienstleistung erbracht. Ein sauber formulierter Dienstvertrag ist die korrekte und zugleich einfachste Vertragsgrundlage.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2 · Umsatzsteuer: Reverse-Charge nach § 13b UStG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Als im EU-Ausland ansässiges Unternehmen stellt die Osterholm B.V. Netto-Rechnungen ohne ausgewiesene Umsatzsteuer aus. Die Steuerschuld geht nach § 13b UStG auf Sie als Leistungsempfänger über (Reverse-Charge); die Rechnung trägt den Hinweis „Steuerschuldnerschaft des Leistungsempfängers“ sowie beide USt-IdNrn. Sie melden die Umsatzsteuer in der Voranmeldung an und ziehen sie bei voller Vorsteuerabzugsberechtigung im selben Zeitraum wieder als Vorsteuer ab — der Vorgang ist damit liquiditätsneutral. Das Reverse-Charge-Verfahren ist das gesetzlich vorgeschriebene Standardverfahren für grenzüberschreitende B2B-Dienstleistungen in der EU und stellt keinen Sonderfall dar.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3 · Selbstständigkeit (Stichwort Scheinselbstständigkeit)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Die Merkmale echter Selbstständigkeit sind erfüllt: eigenes Unternehmen mit mehreren Auftraggebern, unternehmerisches Risiko, eigene Betriebsmittel, freie Zeit- und Arbeitsgestaltung sowie keine Eingliederung in Ihre Organisation oder Weisungshierarchie. Bei entsprechend gelebter Vertragsgestaltung liegt keine abhängige Beschäftigung vor. Auf Wunsch stelle ich einen Muster-Dienstvertrag sowie die üblichen Nachweise bereit.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4 · Unterlagen auf Anfrage</w:t>
      </w:r>
    </w:p>
    <w:p>
      <w:pPr>
        <w:spacing w:after="160"/>
      </w:pPr>
      <w:r>
        <w:rPr>
          <w:i w:val="false"/>
          <w:iCs w:val="false"/>
          <w:color w:val="000000"/>
          <w:sz w:val="20"/>
          <w:szCs w:val="20"/>
        </w:rPr>
        <w:t xml:space="preserve">KvK-Handelsregisterauszug · USt-IdNr. NL864925888B01 · Muster-Dienstvertrag · Bestätigung des Steuerberaters · Versicherungsnachweise.</w:t>
      </w:r>
    </w:p>
    <w:p>
      <w:pPr>
        <w:spacing w:after="200"/>
      </w:pPr>
      <w:r>
        <w:rPr>
          <w:i/>
          <w:iCs/>
          <w:color w:val="595959"/>
          <w:sz w:val="17"/>
          <w:szCs w:val="17"/>
        </w:rPr>
        <w:t xml:space="preserve">Hinweis: Diese Übersicht dient der allgemeinen Information und ersetzt keine steuerliche oder rechtliche Beratung. Ihr Steuerberater bzw. Ihre Rechtsabteilung kann die genannten Punkte für Ihren konkreten Fall bestätigen.</w:t>
      </w:r>
    </w:p>
    <w:p>
      <w:pPr>
        <w:pBdr>
          <w:top w:val="single" w:color="1F3864" w:sz="6" w:space="4"/>
        </w:pBdr>
        <w:spacing w:before="60"/>
      </w:pPr>
      <w:r>
        <w:rPr>
          <w:color w:val="595959"/>
          <w:sz w:val="16"/>
          <w:szCs w:val="16"/>
        </w:rPr>
        <w:t xml:space="preserve">Osterholm B.V. · Arthur van Schendelstraat 500, 3511 MH Utrecht (NL) · USt-IdNr. NL864925888B01 · Bruno.Samueli@osterholm.nl · +49 160 3030 474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2026-06-24T13:45:07.352Z</dcterms:created>
  <dcterms:modified xsi:type="dcterms:W3CDTF">2026-06-24T13:45:07.352Z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