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OSTERHOLM B.V. · UTRECHT (NL)</w:t>
      </w:r>
    </w:p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Working with Osterholm B.V.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Contracting, VAT and wet DBA notes for clients in the Netherlands</w:t>
      </w:r>
    </w:p>
    <w:p>
      <w:pPr>
        <w:spacing w:after="140"/>
      </w:pPr>
      <w:r>
        <w:rPr>
          <w:i w:val="false"/>
          <w:iCs w:val="false"/>
          <w:color w:val="000000"/>
          <w:sz w:val="20"/>
          <w:szCs w:val="20"/>
        </w:rPr>
        <w:t xml:space="preserve">Osterholm B.V. is a Utrecht-based IT services company (owner: Bruno Samueli) providing Java / Spring Boot / Kubernetes and AI-assisted development — on-site, hybrid or remote. For Dutch clients this is a domestic B2B engagement with a Dutch BV, the simplest case. The points below answer the questions that usually come from procurement, finance and HR.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1 · Engagement — a service agreement with a Dutch BV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We deliver as an independent service through Osterholm B.V. under an overeenkomst van opdracht: defined, result-based work, using our own equipment and methods. You contract a Dutch private limited company registered with the KvK and receive our invoices — no payroll or uitzendconstructie is required on your side. Where a broker or inhuurdesk is your standard procurement route, we work through those as well.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2 · VAT — standard Dutch btw, fully deductible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As a Dutch company invoicing a Dutch client, Osterholm B.V. charges 21% btw on its invoices. For VAT-registered businesses this is deductible as voorbelasting in the same return, so the engagement is VAT-neutral. No reverse-charge or cross-border mechanics apply.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3 · Wet DBA — genuine independence, documented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Classification is assessed on the actual working relationship, not the legal form — we structure engagements accordingly. The markers of genuine independence are in place: an own company serving clients in NL, DE and AT; entrepreneurial risk; own equipment and methods; result-defined scope; and no embedding in your organisation or reporting line. A properly drafted overeenkomst van opdracht that matches how the work is actually performed addresses the assessment framework of the Belastingdienst; we provide a model on request and are glad to align wording with your legal team.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4 · Documents on request</w:t>
      </w:r>
    </w:p>
    <w:p>
      <w:pPr>
        <w:spacing w:after="160"/>
      </w:pPr>
      <w:r>
        <w:rPr>
          <w:i w:val="false"/>
          <w:iCs w:val="false"/>
          <w:color w:val="000000"/>
          <w:sz w:val="20"/>
          <w:szCs w:val="20"/>
        </w:rPr>
        <w:t xml:space="preserve">KvK extract · VAT number NL864925888B01 · model overeenkomst van opdracht · insurance details.</w:t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This note is general information and not tax or legal advice. Your adviser or the Belastingdienst can confirm the points for your specific circumstances.</w:t>
      </w:r>
    </w:p>
    <w:p>
      <w:pPr>
        <w:pBdr>
          <w:top w:val="single" w:color="1F3864" w:sz="6" w:space="4"/>
        </w:pBdr>
        <w:spacing w:before="60"/>
      </w:pPr>
      <w:r>
        <w:rPr>
          <w:color w:val="595959"/>
          <w:sz w:val="16"/>
          <w:szCs w:val="16"/>
        </w:rPr>
        <w:t xml:space="preserve">Osterholm B.V. · Arthur van Schendelstraat 500, 3511 MH Utrecht (NL) · VAT NL864925888B01 · Bruno.Samueli@osterholm.nl · +31 6 4436 0779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2026-06-24T15:28:20.568Z</dcterms:created>
  <dcterms:modified xsi:type="dcterms:W3CDTF">2026-06-24T15:28:20.568Z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