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t>基于库容指数的物流仓储风险研究</w:t>
      </w:r>
    </w:p>
    <w:p>
      <w:pPr>
        <w:pStyle w:val="Heading3"/>
        <w:jc w:val="center"/>
      </w:pPr>
      <w:r>
        <w:rPr>
          <w:b w:val="0"/>
          <w:sz w:val="28"/>
        </w:rPr>
        <w:t>林硕，张圣洁</w:t>
      </w:r>
    </w:p>
    <w:p>
      <w:pPr>
        <w:jc w:val="center"/>
      </w:pPr>
      <w:r>
        <w:t>某研究单位</w:t>
      </w:r>
    </w:p>
    <w:p>
      <w:pPr>
        <w:jc w:val="center"/>
      </w:pPr>
      <w:r>
        <w:t>2026年10月</w:t>
      </w:r>
    </w:p>
    <w:p>
      <w:pPr>
        <w:pStyle w:val="Heading1"/>
      </w:pPr>
      <w:r>
        <w:t>一、研究背景</w:t>
      </w:r>
    </w:p>
    <w:p>
      <w:r>
        <w:t>本段说明研究目的、基本措施和验证方式，不包含真实项目数据。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