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一、正文</w:t>
      </w:r>
    </w:p>
    <w:p>
      <w:r>
        <w:t>1. 基本范围</w:t>
      </w:r>
    </w:p>
    <w:p>
      <w:r>
        <w:t>本段是完整正文，作为正文格式的计算基线。</w:t>
      </w:r>
    </w:p>
    <w:p>
      <w:pPr>
        <w:pStyle w:val="Heading6"/>
      </w:pPr>
      <w:r>
        <w:t>（1）</w:t>
      </w:r>
      <w:r>
        <w:object>
          <o:OLEObject ProgID="Equation.DSMT4" Type="Embed"/>
        </w:object>
      </w:r>
    </w:p>
    <w:p>
      <w:pPr/>
      <w:r>
        <w:t>（2）</w:t>
      </w:r>
      <w:r>
        <w:object>
          <o:OLEObject ProgID="Equation.DSMT4" Type="Embed"/>
        </w:object>
      </w:r>
    </w:p>
    <w:p>
      <w:pPr/>
      <w:r>
        <w:t>（3）</w:t>
      </w:r>
      <m:oMathPara>
        <m:oMath>
          <m:r>
            <m:t>x=1</m:t>
          </m:r>
        </m:oMath>
      </m:oMathPara>
    </w:p>
    <w:p>
      <w:pPr/>
      <w:r>
        <w:t>（4）</w:t>
      </w:r>
      <w:r>
        <w:pict>
          <v:shape id="fixture-shape"/>
        </w:pict>
      </w:r>
    </w:p>
    <w:p>
      <w:r>
        <w:t>（5）正常三级标题</w:t>
      </w:r>
    </w:p>
    <w:p>
      <w:r>
        <w:t>本段继续说明业务事实，公式编号不能影响本段前的标题层级。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