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88" w:lineRule="auto"/>
        <w:ind w:firstLine="0"/>
        <w:jc w:val="center"/>
      </w:pPr>
      <w:r>
        <w:rPr>
          <w:rFonts w:ascii="Noto Sans CJK SC" w:hAnsi="Noto Sans CJK SC" w:eastAsia="Noto Sans CJK SC" w:cs="Noto Sans CJK SC"/>
          <w:b/>
          <w:sz w:val="44"/>
        </w:rPr>
        <w:t>配电物资仓储协同优化项目建议书</w:t>
      </w:r>
    </w:p>
    <w:p>
      <w:pPr>
        <w:spacing w:before="0" w:after="200" w:line="288" w:lineRule="auto"/>
        <w:ind w:firstLine="0"/>
        <w:jc w:val="center"/>
      </w:pPr>
      <w:r>
        <w:rPr>
          <w:rFonts w:ascii="Noto Serif CJK SC" w:hAnsi="Noto Serif CJK SC" w:eastAsia="Noto Serif CJK SC" w:cs="Noto Serif CJK SC"/>
          <w:sz w:val="32"/>
        </w:rPr>
        <w:t>（试行稿）</w:t>
      </w:r>
    </w:p>
    <w:p>
      <w:pPr>
        <w:spacing w:before="0" w:after="60" w:line="288" w:lineRule="auto"/>
        <w:ind w:firstLine="0"/>
        <w:jc w:val="center"/>
      </w:pPr>
      <w:r>
        <w:rPr>
          <w:rFonts w:ascii="Noto Serif CJK SC" w:hAnsi="Noto Serif CJK SC" w:eastAsia="Noto Serif CJK SC" w:cs="Noto Serif CJK SC"/>
          <w:sz w:val="28"/>
        </w:rPr>
        <w:t>某供电公司物资部</w:t>
      </w:r>
    </w:p>
    <w:p>
      <w:pPr>
        <w:spacing w:before="0" w:after="60" w:line="288" w:lineRule="auto"/>
        <w:ind w:firstLine="0"/>
        <w:jc w:val="center"/>
      </w:pPr>
      <w:r>
        <w:rPr>
          <w:rFonts w:ascii="Noto Serif CJK SC" w:hAnsi="Noto Serif CJK SC" w:eastAsia="Noto Serif CJK SC" w:cs="Noto Serif CJK SC"/>
          <w:sz w:val="28"/>
        </w:rPr>
        <w:t>2026年10月</w:t>
      </w:r>
    </w:p>
    <w:p>
      <w:pPr>
        <w:spacing w:before="160" w:after="80" w:line="288" w:lineRule="auto"/>
        <w:ind w:firstLine="0"/>
      </w:pPr>
      <w:r>
        <w:rPr>
          <w:rFonts w:ascii="Noto Sans CJK SC" w:hAnsi="Noto Sans CJK SC" w:eastAsia="Noto Sans CJK SC" w:cs="Noto Sans CJK SC"/>
          <w:b/>
          <w:sz w:val="32"/>
        </w:rPr>
        <w:t>一、项目背景</w:t>
      </w:r>
    </w:p>
    <w:p>
      <w:pPr>
        <w:spacing w:before="80" w:after="80" w:line="288" w:lineRule="auto"/>
        <w:ind w:firstLine="0"/>
      </w:pPr>
      <w:r>
        <w:rPr>
          <w:rFonts w:ascii="Noto Sans CJK SC" w:hAnsi="Noto Sans CJK SC" w:eastAsia="Noto Sans CJK SC" w:cs="Noto Sans CJK SC"/>
          <w:b/>
          <w:sz w:val="30"/>
        </w:rPr>
        <w:t>（一）现状分析</w:t>
      </w:r>
    </w:p>
    <w:p>
      <w:pPr>
        <w:spacing w:before="80" w:after="80" w:line="288" w:lineRule="auto"/>
        <w:ind w:firstLine="0"/>
      </w:pPr>
      <w:r>
        <w:rPr>
          <w:rFonts w:ascii="Noto Sans CJK SC" w:hAnsi="Noto Sans CJK SC" w:eastAsia="Noto Sans CJK SC" w:cs="Noto Sans CJK SC"/>
          <w:b/>
          <w:sz w:val="28"/>
        </w:rPr>
        <w:t>1. 周转效率偏低</w:t>
      </w:r>
    </w:p>
    <w:p>
      <w:pPr>
        <w:spacing w:before="0" w:after="120" w:line="360" w:lineRule="auto"/>
        <w:ind w:firstLine="640"/>
      </w:pPr>
      <w:r>
        <w:rPr>
          <w:rFonts w:ascii="Noto Serif CJK SC" w:hAnsi="Noto Serif CJK SC" w:eastAsia="Noto Serif CJK SC" w:cs="Noto Serif CJK SC"/>
          <w:b w:val="0"/>
          <w:i w:val="0"/>
          <w:sz w:val="32"/>
        </w:rPr>
        <w:t>部分库区仍以人工经验安排储位和出入库顺序，库存周转分析与现场作业脱节，难以及时识别长期占用库容的物资。</w:t>
      </w:r>
    </w:p>
    <w:p>
      <w:pPr>
        <w:spacing w:before="0" w:after="120" w:line="360" w:lineRule="auto"/>
        <w:ind w:firstLine="640"/>
      </w:pPr>
      <w:r>
        <w:rPr>
          <w:rFonts w:ascii="Noto Serif CJK SC" w:hAnsi="Noto Serif CJK SC" w:eastAsia="Noto Serif CJK SC" w:cs="Noto Serif CJK SC"/>
          <w:b w:val="0"/>
          <w:i w:val="0"/>
          <w:sz w:val="32"/>
        </w:rPr>
        <w:t>其中“超过90日库龄物资”需要形成重点清单，并与项目需求、调拨计划和退料信息联动核验。</w:t>
      </w:r>
    </w:p>
    <w:p>
      <w:pPr>
        <w:spacing w:before="0" w:after="120" w:line="360" w:lineRule="auto"/>
        <w:ind w:firstLine="640"/>
      </w:pPr>
      <w:r>
        <w:rPr>
          <w:rFonts w:ascii="Noto Serif CJK SC" w:hAnsi="Noto Serif CJK SC" w:eastAsia="Noto Serif CJK SC" w:cs="Noto Serif CJK SC"/>
          <w:b/>
          <w:sz w:val="32"/>
        </w:rPr>
        <w:t>管理要求：</w:t>
      </w:r>
      <w:r>
        <w:rPr>
          <w:rFonts w:ascii="Noto Serif CJK SC" w:hAnsi="Noto Serif CJK SC" w:eastAsia="Noto Serif CJK SC" w:cs="Noto Serif CJK SC"/>
          <w:sz w:val="32"/>
        </w:rPr>
        <w:t>对</w:t>
      </w:r>
      <w:r>
        <w:rPr>
          <w:rFonts w:ascii="Noto Serif CJK SC" w:hAnsi="Noto Serif CJK SC" w:eastAsia="Noto Serif CJK SC" w:cs="Noto Serif CJK SC"/>
          <w:b/>
          <w:sz w:val="32"/>
        </w:rPr>
        <w:t>重点物资</w:t>
      </w:r>
      <w:r>
        <w:rPr>
          <w:rFonts w:ascii="Noto Serif CJK SC" w:hAnsi="Noto Serif CJK SC" w:eastAsia="Noto Serif CJK SC" w:cs="Noto Serif CJK SC"/>
          <w:sz w:val="32"/>
        </w:rPr>
        <w:t>保留局部强调，不应因正文规范化被抹除。</w:t>
      </w:r>
    </w:p>
    <w:p>
      <w:pPr>
        <w:spacing w:before="80" w:after="80" w:line="288" w:lineRule="auto"/>
        <w:ind w:firstLine="0"/>
      </w:pPr>
      <w:r>
        <w:rPr>
          <w:rFonts w:ascii="Noto Sans CJK SC" w:hAnsi="Noto Sans CJK SC" w:eastAsia="Noto Sans CJK SC" w:cs="Noto Sans CJK SC"/>
          <w:b/>
          <w:sz w:val="28"/>
        </w:rPr>
        <w:t>2. 储位协同不足</w:t>
      </w:r>
    </w:p>
    <w:p>
      <w:pPr>
        <w:spacing w:before="0" w:after="120" w:line="360" w:lineRule="auto"/>
        <w:ind w:firstLine="640"/>
      </w:pPr>
      <w:r>
        <w:rPr>
          <w:rFonts w:ascii="Noto Serif CJK SC" w:hAnsi="Noto Serif CJK SC" w:eastAsia="Noto Serif CJK SC" w:cs="Noto Serif CJK SC"/>
          <w:b w:val="0"/>
          <w:i w:val="0"/>
          <w:sz w:val="32"/>
        </w:rPr>
        <w:t>储位调整、盘点和主动配送之间缺少统一的数据口径，导致相同物资在不同场景下出现重复核对。</w:t>
      </w:r>
    </w:p>
    <w:p>
      <w:pPr>
        <w:spacing w:before="80" w:after="80" w:line="288" w:lineRule="auto"/>
        <w:ind w:firstLine="0"/>
      </w:pPr>
      <w:r>
        <w:rPr>
          <w:rFonts w:ascii="Noto Sans CJK SC" w:hAnsi="Noto Sans CJK SC" w:eastAsia="Noto Sans CJK SC" w:cs="Noto Sans CJK SC"/>
          <w:b/>
          <w:sz w:val="30"/>
        </w:rPr>
        <w:t>（二）建设目标</w:t>
      </w:r>
    </w:p>
    <w:p>
      <w:pPr>
        <w:spacing w:before="0" w:after="120" w:line="360" w:lineRule="auto"/>
        <w:ind w:firstLine="640"/>
      </w:pPr>
      <w:r>
        <w:rPr>
          <w:rFonts w:ascii="Noto Serif CJK SC" w:hAnsi="Noto Serif CJK SC" w:eastAsia="Noto Serif CJK SC" w:cs="Noto Serif CJK SC"/>
          <w:b w:val="0"/>
          <w:i w:val="0"/>
          <w:sz w:val="32"/>
        </w:rPr>
        <w:t>建立“指标监测—异常识别—任务下发—结果反馈”的仓储协同闭环，提升周转分析、库龄预警和配送联动能力。</w:t>
      </w:r>
    </w:p>
    <w:p>
      <w:pPr>
        <w:spacing w:before="160" w:after="80" w:line="288" w:lineRule="auto"/>
        <w:ind w:firstLine="0"/>
      </w:pPr>
      <w:r>
        <w:rPr>
          <w:rFonts w:ascii="Noto Sans CJK SC" w:hAnsi="Noto Sans CJK SC" w:eastAsia="Noto Sans CJK SC" w:cs="Noto Sans CJK SC"/>
          <w:b/>
          <w:sz w:val="32"/>
        </w:rPr>
        <w:t>二、主要建设内容</w:t>
      </w:r>
    </w:p>
    <w:p>
      <w:pPr>
        <w:spacing w:before="80" w:after="80" w:line="288" w:lineRule="auto"/>
        <w:ind w:firstLine="0"/>
      </w:pPr>
      <w:r>
        <w:rPr>
          <w:rFonts w:ascii="Noto Sans CJK SC" w:hAnsi="Noto Sans CJK SC" w:eastAsia="Noto Sans CJK SC" w:cs="Noto Sans CJK SC"/>
          <w:b/>
          <w:sz w:val="30"/>
        </w:rPr>
        <w:t>（一）统一仓储指标</w:t>
      </w:r>
    </w:p>
    <w:p>
      <w:pPr>
        <w:spacing w:before="80" w:after="80" w:line="288" w:lineRule="auto"/>
        <w:ind w:firstLine="0"/>
      </w:pPr>
      <w:r>
        <w:rPr>
          <w:rFonts w:ascii="Noto Sans CJK SC" w:hAnsi="Noto Sans CJK SC" w:eastAsia="Noto Sans CJK SC" w:cs="Noto Sans CJK SC"/>
          <w:b/>
          <w:sz w:val="28"/>
        </w:rPr>
        <w:t>1. 建立周转率口径</w:t>
      </w:r>
    </w:p>
    <w:p>
      <w:pPr>
        <w:spacing w:before="0" w:after="120" w:line="360" w:lineRule="auto"/>
        <w:ind w:firstLine="640"/>
      </w:pPr>
      <w:r>
        <w:rPr>
          <w:rFonts w:ascii="Noto Serif CJK SC" w:hAnsi="Noto Serif CJK SC" w:eastAsia="Noto Serif CJK SC" w:cs="Noto Serif CJK SC"/>
          <w:b w:val="0"/>
          <w:i w:val="0"/>
          <w:sz w:val="32"/>
        </w:rPr>
        <w:t>统一统计周期、库存金额和出库金额口径，并保留源数据与计算过程，避免不同报表之间口径漂移。</w:t>
      </w:r>
    </w:p>
    <w:p>
      <w:pPr>
        <w:spacing w:before="0" w:after="120" w:line="360" w:lineRule="auto"/>
        <w:ind w:firstLine="0"/>
        <w:jc w:val="center"/>
      </w:pPr>
      <w:r>
        <w:rPr>
          <w:rFonts w:ascii="Noto Serif CJK SC" w:hAnsi="Noto Serif CJK SC" w:eastAsia="Noto Serif CJK SC" w:cs="Noto Serif CJK SC"/>
          <w:b/>
          <w:i w:val="0"/>
          <w:sz w:val="24"/>
        </w:rPr>
        <w:t>表1 核心指标及管理用途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59"/>
        <w:gridCol w:w="3059"/>
        <w:gridCol w:w="3059"/>
      </w:tblGrid>
      <w:tr>
        <w:tc>
          <w:tcPr>
            <w:tcW w:type="dxa" w:w="30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22"/>
              </w:rPr>
              <w:t>指标</w:t>
            </w:r>
          </w:p>
        </w:tc>
        <w:tc>
          <w:tcPr>
            <w:tcW w:type="dxa" w:w="30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22"/>
              </w:rPr>
              <w:t>口径</w:t>
            </w:r>
          </w:p>
        </w:tc>
        <w:tc>
          <w:tcPr>
            <w:tcW w:type="dxa" w:w="30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22"/>
              </w:rPr>
              <w:t>主要用途</w:t>
            </w:r>
          </w:p>
        </w:tc>
      </w:tr>
      <w:tr>
        <w:tc>
          <w:tcPr>
            <w:tcW w:type="dxa" w:w="3059"/>
            <w:vAlign w:val="center"/>
          </w:tcPr>
          <w:p>
            <w:r>
              <w:rPr>
                <w:rFonts w:ascii="Noto Serif CJK SC" w:hAnsi="Noto Serif CJK SC" w:eastAsia="Noto Serif CJK SC" w:cs="Noto Serif CJK SC"/>
                <w:sz w:val="22"/>
              </w:rPr>
              <w:t>库存周转率</w:t>
            </w:r>
          </w:p>
        </w:tc>
        <w:tc>
          <w:tcPr>
            <w:tcW w:type="dxa" w:w="3059"/>
            <w:vAlign w:val="center"/>
          </w:tcPr>
          <w:p>
            <w:r>
              <w:rPr>
                <w:rFonts w:ascii="Noto Serif CJK SC" w:hAnsi="Noto Serif CJK SC" w:eastAsia="Noto Serif CJK SC" w:cs="Noto Serif CJK SC"/>
                <w:sz w:val="22"/>
              </w:rPr>
              <w:t>按统一周期计算</w:t>
            </w:r>
          </w:p>
        </w:tc>
        <w:tc>
          <w:tcPr>
            <w:tcW w:type="dxa" w:w="3059"/>
            <w:vAlign w:val="center"/>
          </w:tcPr>
          <w:p>
            <w:r>
              <w:rPr>
                <w:rFonts w:ascii="Noto Serif CJK SC" w:hAnsi="Noto Serif CJK SC" w:eastAsia="Noto Serif CJK SC" w:cs="Noto Serif CJK SC"/>
                <w:sz w:val="22"/>
              </w:rPr>
              <w:t>识别库存使用效率</w:t>
            </w:r>
          </w:p>
        </w:tc>
      </w:tr>
      <w:tr>
        <w:tc>
          <w:tcPr>
            <w:tcW w:type="dxa" w:w="3059"/>
            <w:vAlign w:val="center"/>
          </w:tcPr>
          <w:p>
            <w:r>
              <w:rPr>
                <w:rFonts w:ascii="Noto Serif CJK SC" w:hAnsi="Noto Serif CJK SC" w:eastAsia="Noto Serif CJK SC" w:cs="Noto Serif CJK SC"/>
                <w:sz w:val="22"/>
              </w:rPr>
              <w:t>平均库龄</w:t>
            </w:r>
          </w:p>
        </w:tc>
        <w:tc>
          <w:tcPr>
            <w:tcW w:type="dxa" w:w="3059"/>
            <w:vAlign w:val="center"/>
          </w:tcPr>
          <w:p>
            <w:r>
              <w:rPr>
                <w:rFonts w:ascii="Noto Serif CJK SC" w:hAnsi="Noto Serif CJK SC" w:eastAsia="Noto Serif CJK SC" w:cs="Noto Serif CJK SC"/>
                <w:sz w:val="22"/>
              </w:rPr>
              <w:t>按金额与数量分别统计</w:t>
            </w:r>
          </w:p>
        </w:tc>
        <w:tc>
          <w:tcPr>
            <w:tcW w:type="dxa" w:w="3059"/>
            <w:vAlign w:val="center"/>
          </w:tcPr>
          <w:p>
            <w:r>
              <w:rPr>
                <w:rFonts w:ascii="Noto Serif CJK SC" w:hAnsi="Noto Serif CJK SC" w:eastAsia="Noto Serif CJK SC" w:cs="Noto Serif CJK SC"/>
                <w:sz w:val="22"/>
              </w:rPr>
              <w:t>识别长期积压</w:t>
            </w:r>
          </w:p>
        </w:tc>
      </w:tr>
      <w:tr>
        <w:tc>
          <w:tcPr>
            <w:tcW w:type="dxa" w:w="3059"/>
            <w:vAlign w:val="center"/>
          </w:tcPr>
          <w:p>
            <w:r>
              <w:rPr>
                <w:rFonts w:ascii="Noto Serif CJK SC" w:hAnsi="Noto Serif CJK SC" w:eastAsia="Noto Serif CJK SC" w:cs="Noto Serif CJK SC"/>
                <w:sz w:val="22"/>
              </w:rPr>
              <w:t>30日快出率</w:t>
            </w:r>
          </w:p>
        </w:tc>
        <w:tc>
          <w:tcPr>
            <w:tcW w:type="dxa" w:w="3059"/>
            <w:vAlign w:val="center"/>
          </w:tcPr>
          <w:p>
            <w:r>
              <w:rPr>
                <w:rFonts w:ascii="Noto Serif CJK SC" w:hAnsi="Noto Serif CJK SC" w:eastAsia="Noto Serif CJK SC" w:cs="Noto Serif CJK SC"/>
                <w:sz w:val="22"/>
              </w:rPr>
              <w:t>入库30日内出库比例</w:t>
            </w:r>
          </w:p>
        </w:tc>
        <w:tc>
          <w:tcPr>
            <w:tcW w:type="dxa" w:w="3059"/>
            <w:vAlign w:val="center"/>
          </w:tcPr>
          <w:p>
            <w:r>
              <w:rPr>
                <w:rFonts w:ascii="Noto Serif CJK SC" w:hAnsi="Noto Serif CJK SC" w:eastAsia="Noto Serif CJK SC" w:cs="Noto Serif CJK SC"/>
                <w:sz w:val="22"/>
              </w:rPr>
              <w:t>评价快速流转能力</w:t>
            </w:r>
          </w:p>
        </w:tc>
      </w:tr>
    </w:tbl>
    <w:p>
      <w:pPr>
        <w:spacing w:before="160" w:after="80" w:line="288" w:lineRule="auto"/>
        <w:ind w:firstLine="0"/>
      </w:pPr>
      <w:r>
        <w:rPr>
          <w:rFonts w:ascii="Noto Sans CJK SC" w:hAnsi="Noto Sans CJK SC" w:eastAsia="Noto Sans CJK SC" w:cs="Noto Sans CJK SC"/>
          <w:b/>
          <w:sz w:val="32"/>
        </w:rPr>
        <w:t>三、实施保障</w:t>
      </w:r>
    </w:p>
    <w:p>
      <w:pPr>
        <w:spacing w:before="0" w:after="120" w:line="360" w:lineRule="auto"/>
        <w:ind w:firstLine="640"/>
      </w:pPr>
      <w:r>
        <w:rPr>
          <w:rFonts w:ascii="Noto Serif CJK SC" w:hAnsi="Noto Serif CJK SC" w:eastAsia="Noto Serif CJK SC" w:cs="Noto Serif CJK SC"/>
          <w:b w:val="0"/>
          <w:i w:val="0"/>
          <w:sz w:val="32"/>
        </w:rPr>
        <w:t>相关制度可参照企业内部仓储管理要求，必要时通过公开标准链接核验定义：</w:t>
      </w:r>
      <w:hyperlink r:id="rId9">
        <w:r>
          <w:rPr>
            <w:color w:val="0563C1"/>
            <w:u w:val="single"/>
            <w:rFonts w:ascii="Noto Serif CJK SC" w:hAnsi="Noto Serif CJK SC" w:eastAsia="Noto Serif CJK SC" w:cs="Noto Serif CJK SC"/>
            <w:sz w:val="32"/>
          </w:rPr>
          <w:t>示例标准链接</w:t>
        </w:r>
      </w:hyperlink>
    </w:p>
    <w:p>
      <w:pPr>
        <w:spacing w:before="160" w:after="80" w:line="288" w:lineRule="auto"/>
        <w:ind w:firstLine="0"/>
      </w:pPr>
      <w:r>
        <w:rPr>
          <w:rFonts w:ascii="Noto Sans CJK SC" w:hAnsi="Noto Sans CJK SC" w:eastAsia="Noto Sans CJK SC" w:cs="Noto Sans CJK SC"/>
          <w:b/>
          <w:sz w:val="32"/>
        </w:rPr>
        <w:t>参考资料</w:t>
      </w:r>
    </w:p>
    <w:p>
      <w:pPr>
        <w:spacing w:before="0" w:after="120" w:line="360" w:lineRule="auto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sz w:val="26"/>
        </w:rPr>
        <w:t>[1] 某供电公司仓储运营管理细则。</w:t>
      </w:r>
    </w:p>
    <w:p>
      <w:pPr>
        <w:spacing w:before="0" w:after="120" w:line="360" w:lineRule="auto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sz w:val="26"/>
        </w:rPr>
        <w:t>[2] 物资库存周转分析工作指引。</w:t>
      </w:r>
    </w:p>
    <w:sectPr w:rsidR="00FC693F" w:rsidRPr="0006063C" w:rsidSect="00034616">
      <w:pgSz w:w="12240" w:h="15840"/>
      <w:pgMar w:top="1587" w:right="1531" w:bottom="147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stand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